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CCB031" w14:textId="77777777" w:rsidR="003D5428" w:rsidRPr="009B13F9" w:rsidRDefault="00000000" w:rsidP="009B13F9">
      <w:pPr>
        <w:spacing w:line="480" w:lineRule="auto"/>
        <w:jc w:val="center"/>
        <w:rPr>
          <w:rFonts w:ascii="Times New Roman" w:eastAsia="Times New Roman" w:hAnsi="Times New Roman" w:cs="Times New Roman"/>
          <w:b/>
          <w:bCs/>
          <w:sz w:val="24"/>
          <w:szCs w:val="24"/>
        </w:rPr>
      </w:pPr>
      <w:r w:rsidRPr="009B13F9">
        <w:rPr>
          <w:rFonts w:ascii="Times New Roman" w:eastAsia="Times New Roman" w:hAnsi="Times New Roman" w:cs="Times New Roman"/>
          <w:b/>
          <w:bCs/>
          <w:noProof/>
          <w:sz w:val="24"/>
          <w:szCs w:val="24"/>
        </w:rPr>
        <w:drawing>
          <wp:inline distT="114300" distB="114300" distL="114300" distR="114300" wp14:anchorId="4701DBB9" wp14:editId="2D571CCD">
            <wp:extent cx="1857375" cy="84044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57375" cy="840441"/>
                    </a:xfrm>
                    <a:prstGeom prst="rect">
                      <a:avLst/>
                    </a:prstGeom>
                    <a:ln/>
                  </pic:spPr>
                </pic:pic>
              </a:graphicData>
            </a:graphic>
          </wp:inline>
        </w:drawing>
      </w:r>
    </w:p>
    <w:p w14:paraId="5F903B30" w14:textId="77777777" w:rsidR="003D5428" w:rsidRPr="009B13F9" w:rsidRDefault="00000000" w:rsidP="009B13F9">
      <w:pPr>
        <w:spacing w:line="480" w:lineRule="auto"/>
        <w:jc w:val="center"/>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Negotiating Metacognitive Learning Strategies in a Multicultural Graduate Classroom: A Case Study of MA in Education Students at an International Liberal Arts University for Women</w:t>
      </w:r>
    </w:p>
    <w:p w14:paraId="3B3B9627" w14:textId="77777777" w:rsidR="003D5428" w:rsidRPr="009B13F9" w:rsidRDefault="00000000" w:rsidP="009B13F9">
      <w:pPr>
        <w:spacing w:line="480" w:lineRule="auto"/>
        <w:jc w:val="center"/>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by</w:t>
      </w:r>
    </w:p>
    <w:p w14:paraId="77FC175A" w14:textId="77777777" w:rsidR="003D5428" w:rsidRPr="009B13F9" w:rsidRDefault="00000000" w:rsidP="009B13F9">
      <w:pPr>
        <w:spacing w:line="480" w:lineRule="auto"/>
        <w:jc w:val="center"/>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Syeda Tapannun Sharmila</w:t>
      </w:r>
    </w:p>
    <w:p w14:paraId="1D18D8F3" w14:textId="77777777" w:rsidR="003D5428" w:rsidRPr="009B13F9" w:rsidRDefault="003D5428" w:rsidP="009B13F9">
      <w:pPr>
        <w:spacing w:line="480" w:lineRule="auto"/>
        <w:jc w:val="center"/>
        <w:rPr>
          <w:rFonts w:ascii="Times New Roman" w:eastAsia="Times New Roman" w:hAnsi="Times New Roman" w:cs="Times New Roman"/>
          <w:sz w:val="24"/>
          <w:szCs w:val="24"/>
        </w:rPr>
      </w:pPr>
    </w:p>
    <w:p w14:paraId="5D47A27D" w14:textId="77777777" w:rsidR="003D5428" w:rsidRPr="009B13F9" w:rsidRDefault="00000000" w:rsidP="009B13F9">
      <w:pPr>
        <w:spacing w:line="480" w:lineRule="auto"/>
        <w:jc w:val="center"/>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Institutional Affiliation:</w:t>
      </w:r>
    </w:p>
    <w:p w14:paraId="203188CD" w14:textId="77777777" w:rsidR="003D5428" w:rsidRPr="009B13F9" w:rsidRDefault="00000000" w:rsidP="009B13F9">
      <w:pPr>
        <w:spacing w:line="480" w:lineRule="auto"/>
        <w:jc w:val="center"/>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Master of Arts in Education, Asian University for Women</w:t>
      </w:r>
    </w:p>
    <w:p w14:paraId="2759EFD3" w14:textId="77777777" w:rsidR="003D5428" w:rsidRPr="009B13F9" w:rsidRDefault="00000000" w:rsidP="009B13F9">
      <w:pPr>
        <w:spacing w:line="480" w:lineRule="auto"/>
        <w:jc w:val="center"/>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Course Number &amp; Title:</w:t>
      </w:r>
    </w:p>
    <w:p w14:paraId="405232D7" w14:textId="77777777" w:rsidR="003D5428" w:rsidRPr="009B13F9" w:rsidRDefault="00000000" w:rsidP="009B13F9">
      <w:pPr>
        <w:spacing w:line="480" w:lineRule="auto"/>
        <w:jc w:val="center"/>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 EDUC5999: Master's Thesis</w:t>
      </w:r>
    </w:p>
    <w:p w14:paraId="2C753CFF" w14:textId="77777777" w:rsidR="003D5428" w:rsidRPr="009B13F9" w:rsidRDefault="00000000" w:rsidP="009B13F9">
      <w:pPr>
        <w:spacing w:line="480" w:lineRule="auto"/>
        <w:jc w:val="center"/>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Supervisor's Name:</w:t>
      </w:r>
    </w:p>
    <w:p w14:paraId="28B1C2C7" w14:textId="77777777" w:rsidR="003D5428" w:rsidRPr="009B13F9" w:rsidRDefault="00000000" w:rsidP="009B13F9">
      <w:pPr>
        <w:spacing w:line="480" w:lineRule="auto"/>
        <w:jc w:val="center"/>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Dr. Katie Mathew</w:t>
      </w:r>
    </w:p>
    <w:p w14:paraId="468A125A" w14:textId="77777777" w:rsidR="003D5428" w:rsidRPr="009B13F9" w:rsidRDefault="00000000" w:rsidP="009B13F9">
      <w:pPr>
        <w:spacing w:line="480" w:lineRule="auto"/>
        <w:jc w:val="center"/>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Submission Date:</w:t>
      </w:r>
    </w:p>
    <w:p w14:paraId="39EEDA2B" w14:textId="77777777" w:rsidR="003D5428" w:rsidRPr="009B13F9" w:rsidRDefault="00000000" w:rsidP="009B13F9">
      <w:pPr>
        <w:spacing w:line="480" w:lineRule="auto"/>
        <w:jc w:val="center"/>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July 25, 2026</w:t>
      </w:r>
    </w:p>
    <w:p w14:paraId="1B346470" w14:textId="77777777" w:rsidR="003D5428" w:rsidRPr="009B13F9" w:rsidRDefault="00000000" w:rsidP="009B13F9">
      <w:pPr>
        <w:spacing w:line="480" w:lineRule="auto"/>
        <w:rPr>
          <w:rFonts w:ascii="Times New Roman" w:eastAsia="Times New Roman" w:hAnsi="Times New Roman" w:cs="Times New Roman"/>
          <w:sz w:val="24"/>
          <w:szCs w:val="24"/>
        </w:rPr>
      </w:pPr>
      <w:r w:rsidRPr="009B13F9">
        <w:rPr>
          <w:rFonts w:ascii="Times New Roman" w:hAnsi="Times New Roman" w:cs="Times New Roman"/>
          <w:sz w:val="24"/>
          <w:szCs w:val="24"/>
        </w:rPr>
        <w:br w:type="page"/>
      </w:r>
    </w:p>
    <w:p w14:paraId="43FDD4BC" w14:textId="77777777" w:rsidR="003D5428" w:rsidRPr="009B13F9" w:rsidRDefault="00000000" w:rsidP="009B13F9">
      <w:pPr>
        <w:spacing w:line="480" w:lineRule="auto"/>
        <w:jc w:val="center"/>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lastRenderedPageBreak/>
        <w:t>Acknowledgement</w:t>
      </w:r>
    </w:p>
    <w:p w14:paraId="7BD7050A" w14:textId="6FE2FF33" w:rsidR="003D5428" w:rsidRPr="009B13F9" w:rsidRDefault="00000000" w:rsidP="009B13F9">
      <w:pPr>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sz w:val="24"/>
          <w:szCs w:val="24"/>
        </w:rPr>
        <w:t xml:space="preserve">I would like to express my gratitude; to the mother who has dreamt for my education harder than I ever did, to the father who never asked twice when the question was about making sacrifice for the sake of my education, to the supervisor, Dr. Katie Mathew, who did not act only as a guidance but as a beacon of light on days I </w:t>
      </w:r>
      <w:r w:rsidR="00D075AE">
        <w:rPr>
          <w:rFonts w:ascii="Times New Roman" w:eastAsia="Times New Roman" w:hAnsi="Times New Roman" w:cs="Times New Roman"/>
          <w:sz w:val="24"/>
          <w:szCs w:val="24"/>
        </w:rPr>
        <w:t>was drowning in darkness</w:t>
      </w:r>
      <w:r w:rsidRPr="009B13F9">
        <w:rPr>
          <w:rFonts w:ascii="Times New Roman" w:eastAsia="Times New Roman" w:hAnsi="Times New Roman" w:cs="Times New Roman"/>
          <w:sz w:val="24"/>
          <w:szCs w:val="24"/>
        </w:rPr>
        <w:t xml:space="preserve">, to all the professors who believed in me more than I believed in myself, to all the teaching fellows who inspired me beyond imagination, to my husband who despite not understanding anything of the study sat beside me night after night just so that I do not feel alone in this journey, to the friends who laughed and cried with me throughout this process, </w:t>
      </w:r>
      <w:r w:rsidR="00C0618A">
        <w:rPr>
          <w:rFonts w:ascii="Times New Roman" w:eastAsia="Times New Roman" w:hAnsi="Times New Roman" w:cs="Times New Roman"/>
          <w:sz w:val="24"/>
          <w:szCs w:val="24"/>
        </w:rPr>
        <w:t xml:space="preserve">to my cat, my Buddu, who always runs to me whenever I am in any kind of pain, be it physical or mental, </w:t>
      </w:r>
      <w:r w:rsidRPr="009B13F9">
        <w:rPr>
          <w:rFonts w:ascii="Times New Roman" w:eastAsia="Times New Roman" w:hAnsi="Times New Roman" w:cs="Times New Roman"/>
          <w:sz w:val="24"/>
          <w:szCs w:val="24"/>
        </w:rPr>
        <w:t>to all the participants without whom this study would not be possible and lastly, to the Almighty Allah, who granted me the willpower and strength to make this happen.</w:t>
      </w:r>
      <w:r w:rsidRPr="009B13F9">
        <w:rPr>
          <w:rFonts w:ascii="Times New Roman" w:hAnsi="Times New Roman" w:cs="Times New Roman"/>
          <w:sz w:val="24"/>
          <w:szCs w:val="24"/>
        </w:rPr>
        <w:br w:type="page"/>
      </w:r>
    </w:p>
    <w:p w14:paraId="02E93B2F" w14:textId="77777777" w:rsidR="003D5428" w:rsidRPr="009B13F9" w:rsidRDefault="00000000" w:rsidP="009B13F9">
      <w:pPr>
        <w:spacing w:line="480" w:lineRule="auto"/>
        <w:jc w:val="center"/>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lastRenderedPageBreak/>
        <w:t>Declaration of AI</w:t>
      </w:r>
    </w:p>
    <w:p w14:paraId="71418379" w14:textId="3C6792E6" w:rsidR="00761A24" w:rsidRPr="009B13F9" w:rsidRDefault="00000000" w:rsidP="009B13F9">
      <w:p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During this study, AI platforms like ChatGPT and Gemini were used for checking the formatting for the manuscript. Data analysis, finding</w:t>
      </w:r>
      <w:r w:rsidR="002670EE">
        <w:rPr>
          <w:rFonts w:ascii="Times New Roman" w:eastAsia="Times New Roman" w:hAnsi="Times New Roman" w:cs="Times New Roman"/>
          <w:sz w:val="24"/>
          <w:szCs w:val="24"/>
        </w:rPr>
        <w:t>s</w:t>
      </w:r>
      <w:r w:rsidRPr="009B13F9">
        <w:rPr>
          <w:rFonts w:ascii="Times New Roman" w:eastAsia="Times New Roman" w:hAnsi="Times New Roman" w:cs="Times New Roman"/>
          <w:sz w:val="24"/>
          <w:szCs w:val="24"/>
        </w:rPr>
        <w:t xml:space="preserve"> generation or interpretation were not done using AI. All the findings, analysis and conclusions are my own work and other scholars’ works have been properly cited.</w:t>
      </w:r>
    </w:p>
    <w:p w14:paraId="489038F0" w14:textId="123AB514" w:rsidR="003D5428" w:rsidRPr="009B13F9" w:rsidRDefault="00000000" w:rsidP="009B13F9">
      <w:pPr>
        <w:spacing w:line="480" w:lineRule="auto"/>
        <w:rPr>
          <w:rFonts w:ascii="Times New Roman" w:eastAsia="Times New Roman" w:hAnsi="Times New Roman" w:cs="Times New Roman"/>
          <w:b/>
          <w:bCs/>
          <w:sz w:val="24"/>
          <w:szCs w:val="24"/>
        </w:rPr>
      </w:pPr>
      <w:r w:rsidRPr="009B13F9">
        <w:rPr>
          <w:rFonts w:ascii="Times New Roman" w:hAnsi="Times New Roman" w:cs="Times New Roman"/>
          <w:sz w:val="24"/>
          <w:szCs w:val="24"/>
        </w:rPr>
        <w:br w:type="page"/>
      </w:r>
    </w:p>
    <w:p w14:paraId="244E0110" w14:textId="5D856F4C" w:rsidR="00761A24" w:rsidRPr="009B13F9" w:rsidRDefault="00761A24" w:rsidP="009B13F9">
      <w:pPr>
        <w:pStyle w:val="Heading1"/>
        <w:spacing w:line="480" w:lineRule="auto"/>
        <w:rPr>
          <w:rFonts w:ascii="Times New Roman" w:eastAsia="Times New Roman" w:hAnsi="Times New Roman" w:cs="Times New Roman"/>
          <w:b/>
          <w:bCs/>
          <w:sz w:val="24"/>
          <w:szCs w:val="24"/>
        </w:rPr>
      </w:pPr>
      <w:bookmarkStart w:id="0" w:name="_a0osagppeguo"/>
      <w:bookmarkEnd w:id="0"/>
    </w:p>
    <w:sdt>
      <w:sdtPr>
        <w:rPr>
          <w:rFonts w:ascii="Times New Roman" w:eastAsia="Arial" w:hAnsi="Times New Roman" w:cs="Times New Roman"/>
          <w:color w:val="auto"/>
          <w:sz w:val="24"/>
          <w:szCs w:val="24"/>
          <w:lang w:val="en"/>
        </w:rPr>
        <w:id w:val="-405613245"/>
        <w:docPartObj>
          <w:docPartGallery w:val="Table of Contents"/>
          <w:docPartUnique/>
        </w:docPartObj>
      </w:sdtPr>
      <w:sdtEndPr>
        <w:rPr>
          <w:noProof/>
        </w:rPr>
      </w:sdtEndPr>
      <w:sdtContent>
        <w:p w14:paraId="266D811A" w14:textId="6B609966" w:rsidR="00761A24" w:rsidRPr="009B13F9" w:rsidRDefault="00761A24" w:rsidP="009B13F9">
          <w:pPr>
            <w:pStyle w:val="TOCHeading"/>
            <w:spacing w:line="480" w:lineRule="auto"/>
            <w:jc w:val="center"/>
            <w:rPr>
              <w:rFonts w:ascii="Times New Roman" w:hAnsi="Times New Roman" w:cs="Times New Roman"/>
              <w:b/>
              <w:bCs/>
              <w:color w:val="auto"/>
              <w:sz w:val="24"/>
              <w:szCs w:val="24"/>
            </w:rPr>
          </w:pPr>
          <w:r w:rsidRPr="009B13F9">
            <w:rPr>
              <w:rFonts w:ascii="Times New Roman" w:hAnsi="Times New Roman" w:cs="Times New Roman"/>
              <w:b/>
              <w:bCs/>
              <w:color w:val="auto"/>
              <w:sz w:val="24"/>
              <w:szCs w:val="24"/>
            </w:rPr>
            <w:t>Contents</w:t>
          </w:r>
        </w:p>
        <w:p w14:paraId="7988FDE8" w14:textId="3B44EACD" w:rsidR="006948C8" w:rsidRPr="006948C8" w:rsidRDefault="00761A24"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r w:rsidRPr="009B13F9">
            <w:rPr>
              <w:rFonts w:ascii="Times New Roman" w:hAnsi="Times New Roman" w:cs="Times New Roman"/>
              <w:sz w:val="24"/>
              <w:szCs w:val="24"/>
            </w:rPr>
            <w:fldChar w:fldCharType="begin"/>
          </w:r>
          <w:r w:rsidRPr="009B13F9">
            <w:rPr>
              <w:rFonts w:ascii="Times New Roman" w:hAnsi="Times New Roman" w:cs="Times New Roman"/>
              <w:sz w:val="24"/>
              <w:szCs w:val="24"/>
            </w:rPr>
            <w:instrText xml:space="preserve"> TOC \o "1-3" \h \z \u </w:instrText>
          </w:r>
          <w:r w:rsidRPr="009B13F9">
            <w:rPr>
              <w:rFonts w:ascii="Times New Roman" w:hAnsi="Times New Roman" w:cs="Times New Roman"/>
              <w:sz w:val="24"/>
              <w:szCs w:val="24"/>
            </w:rPr>
            <w:fldChar w:fldCharType="separate"/>
          </w:r>
          <w:hyperlink w:anchor="_Toc235800162" w:history="1">
            <w:r w:rsidR="006948C8" w:rsidRPr="006948C8">
              <w:rPr>
                <w:rStyle w:val="Hyperlink"/>
                <w:rFonts w:ascii="Times New Roman" w:eastAsia="Times New Roman" w:hAnsi="Times New Roman" w:cs="Times New Roman"/>
                <w:noProof/>
                <w:sz w:val="24"/>
                <w:szCs w:val="24"/>
              </w:rPr>
              <w:t>Abstract</w:t>
            </w:r>
            <w:r w:rsidR="006948C8" w:rsidRPr="006948C8">
              <w:rPr>
                <w:rFonts w:ascii="Times New Roman" w:hAnsi="Times New Roman" w:cs="Times New Roman"/>
                <w:noProof/>
                <w:webHidden/>
                <w:sz w:val="24"/>
                <w:szCs w:val="24"/>
              </w:rPr>
              <w:tab/>
            </w:r>
            <w:r w:rsidR="006948C8" w:rsidRPr="006948C8">
              <w:rPr>
                <w:rFonts w:ascii="Times New Roman" w:hAnsi="Times New Roman" w:cs="Times New Roman"/>
                <w:noProof/>
                <w:webHidden/>
                <w:sz w:val="24"/>
                <w:szCs w:val="24"/>
              </w:rPr>
              <w:fldChar w:fldCharType="begin"/>
            </w:r>
            <w:r w:rsidR="006948C8" w:rsidRPr="006948C8">
              <w:rPr>
                <w:rFonts w:ascii="Times New Roman" w:hAnsi="Times New Roman" w:cs="Times New Roman"/>
                <w:noProof/>
                <w:webHidden/>
                <w:sz w:val="24"/>
                <w:szCs w:val="24"/>
              </w:rPr>
              <w:instrText xml:space="preserve"> PAGEREF _Toc235800162 \h </w:instrText>
            </w:r>
            <w:r w:rsidR="006948C8" w:rsidRPr="006948C8">
              <w:rPr>
                <w:rFonts w:ascii="Times New Roman" w:hAnsi="Times New Roman" w:cs="Times New Roman"/>
                <w:noProof/>
                <w:webHidden/>
                <w:sz w:val="24"/>
                <w:szCs w:val="24"/>
              </w:rPr>
            </w:r>
            <w:r w:rsidR="006948C8" w:rsidRPr="006948C8">
              <w:rPr>
                <w:rFonts w:ascii="Times New Roman" w:hAnsi="Times New Roman" w:cs="Times New Roman"/>
                <w:noProof/>
                <w:webHidden/>
                <w:sz w:val="24"/>
                <w:szCs w:val="24"/>
              </w:rPr>
              <w:fldChar w:fldCharType="separate"/>
            </w:r>
            <w:r w:rsidR="006948C8">
              <w:rPr>
                <w:rFonts w:ascii="Times New Roman" w:hAnsi="Times New Roman" w:cs="Times New Roman"/>
                <w:noProof/>
                <w:webHidden/>
                <w:sz w:val="24"/>
                <w:szCs w:val="24"/>
              </w:rPr>
              <w:t>10</w:t>
            </w:r>
            <w:r w:rsidR="006948C8" w:rsidRPr="006948C8">
              <w:rPr>
                <w:rFonts w:ascii="Times New Roman" w:hAnsi="Times New Roman" w:cs="Times New Roman"/>
                <w:noProof/>
                <w:webHidden/>
                <w:sz w:val="24"/>
                <w:szCs w:val="24"/>
              </w:rPr>
              <w:fldChar w:fldCharType="end"/>
            </w:r>
          </w:hyperlink>
        </w:p>
        <w:p w14:paraId="1781B774" w14:textId="70F5388D"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63" w:history="1">
            <w:r w:rsidRPr="006948C8">
              <w:rPr>
                <w:rStyle w:val="Hyperlink"/>
                <w:rFonts w:ascii="Times New Roman" w:eastAsia="Times New Roman" w:hAnsi="Times New Roman" w:cs="Times New Roman"/>
                <w:noProof/>
                <w:sz w:val="24"/>
                <w:szCs w:val="24"/>
              </w:rPr>
              <w:t>1.Introduction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_Toc235800163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Pr="006948C8">
              <w:rPr>
                <w:rFonts w:ascii="Times New Roman" w:hAnsi="Times New Roman" w:cs="Times New Roman"/>
                <w:noProof/>
                <w:webHidden/>
                <w:sz w:val="24"/>
                <w:szCs w:val="24"/>
              </w:rPr>
              <w:fldChar w:fldCharType="end"/>
            </w:r>
          </w:hyperlink>
        </w:p>
        <w:p w14:paraId="66678E84" w14:textId="0944880B"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64" w:history="1">
            <w:r w:rsidRPr="006948C8">
              <w:rPr>
                <w:rStyle w:val="Hyperlink"/>
                <w:rFonts w:ascii="Times New Roman" w:eastAsia="Times New Roman" w:hAnsi="Times New Roman" w:cs="Times New Roman"/>
                <w:noProof/>
                <w:sz w:val="24"/>
                <w:szCs w:val="24"/>
              </w:rPr>
              <w:t>1.1 Background of the Study</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_Toc235800164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Pr="006948C8">
              <w:rPr>
                <w:rFonts w:ascii="Times New Roman" w:hAnsi="Times New Roman" w:cs="Times New Roman"/>
                <w:noProof/>
                <w:webHidden/>
                <w:sz w:val="24"/>
                <w:szCs w:val="24"/>
              </w:rPr>
              <w:fldChar w:fldCharType="end"/>
            </w:r>
          </w:hyperlink>
        </w:p>
        <w:p w14:paraId="2DD352B1" w14:textId="66664046"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65" w:history="1">
            <w:r w:rsidRPr="006948C8">
              <w:rPr>
                <w:rStyle w:val="Hyperlink"/>
                <w:rFonts w:ascii="Times New Roman" w:eastAsia="Times New Roman" w:hAnsi="Times New Roman" w:cs="Times New Roman"/>
                <w:noProof/>
                <w:sz w:val="24"/>
                <w:szCs w:val="24"/>
              </w:rPr>
              <w:t>1.2 Statement of the Problem</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_Toc235800165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Pr="006948C8">
              <w:rPr>
                <w:rFonts w:ascii="Times New Roman" w:hAnsi="Times New Roman" w:cs="Times New Roman"/>
                <w:noProof/>
                <w:webHidden/>
                <w:sz w:val="24"/>
                <w:szCs w:val="24"/>
              </w:rPr>
              <w:fldChar w:fldCharType="end"/>
            </w:r>
          </w:hyperlink>
        </w:p>
        <w:p w14:paraId="1F1829FE" w14:textId="12AFA26F"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66" w:history="1">
            <w:r w:rsidRPr="006948C8">
              <w:rPr>
                <w:rStyle w:val="Hyperlink"/>
                <w:rFonts w:ascii="Times New Roman" w:eastAsia="Times New Roman" w:hAnsi="Times New Roman" w:cs="Times New Roman"/>
                <w:noProof/>
                <w:sz w:val="24"/>
                <w:szCs w:val="24"/>
              </w:rPr>
              <w:t>1.3 Purpose of the Study</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_Toc235800166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Pr="006948C8">
              <w:rPr>
                <w:rFonts w:ascii="Times New Roman" w:hAnsi="Times New Roman" w:cs="Times New Roman"/>
                <w:noProof/>
                <w:webHidden/>
                <w:sz w:val="24"/>
                <w:szCs w:val="24"/>
              </w:rPr>
              <w:fldChar w:fldCharType="end"/>
            </w:r>
          </w:hyperlink>
        </w:p>
        <w:p w14:paraId="7D0FB901" w14:textId="02762E38"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67" w:history="1">
            <w:r w:rsidRPr="006948C8">
              <w:rPr>
                <w:rStyle w:val="Hyperlink"/>
                <w:rFonts w:ascii="Times New Roman" w:eastAsia="Times New Roman" w:hAnsi="Times New Roman" w:cs="Times New Roman"/>
                <w:noProof/>
                <w:sz w:val="24"/>
                <w:szCs w:val="24"/>
              </w:rPr>
              <w:t>1.4 Research Questions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_Toc235800167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Pr="006948C8">
              <w:rPr>
                <w:rFonts w:ascii="Times New Roman" w:hAnsi="Times New Roman" w:cs="Times New Roman"/>
                <w:noProof/>
                <w:webHidden/>
                <w:sz w:val="24"/>
                <w:szCs w:val="24"/>
              </w:rPr>
              <w:fldChar w:fldCharType="end"/>
            </w:r>
          </w:hyperlink>
        </w:p>
        <w:p w14:paraId="5F39635B" w14:textId="14FCB796"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68" w:history="1">
            <w:r w:rsidRPr="006948C8">
              <w:rPr>
                <w:rStyle w:val="Hyperlink"/>
                <w:rFonts w:ascii="Times New Roman" w:eastAsia="Times New Roman" w:hAnsi="Times New Roman" w:cs="Times New Roman"/>
                <w:noProof/>
                <w:sz w:val="24"/>
                <w:szCs w:val="24"/>
              </w:rPr>
              <w:t>1.5 Significance of the Study</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_Toc235800168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Pr="006948C8">
              <w:rPr>
                <w:rFonts w:ascii="Times New Roman" w:hAnsi="Times New Roman" w:cs="Times New Roman"/>
                <w:noProof/>
                <w:webHidden/>
                <w:sz w:val="24"/>
                <w:szCs w:val="24"/>
              </w:rPr>
              <w:fldChar w:fldCharType="end"/>
            </w:r>
          </w:hyperlink>
        </w:p>
        <w:p w14:paraId="37A58DF9" w14:textId="46F3FEDE"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69" w:history="1">
            <w:r w:rsidRPr="006948C8">
              <w:rPr>
                <w:rStyle w:val="Hyperlink"/>
                <w:rFonts w:ascii="Times New Roman" w:eastAsia="Times New Roman" w:hAnsi="Times New Roman" w:cs="Times New Roman"/>
                <w:noProof/>
                <w:sz w:val="24"/>
                <w:szCs w:val="24"/>
              </w:rPr>
              <w:t>1.6 Scope and Delimitations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_Toc235800169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Pr="006948C8">
              <w:rPr>
                <w:rFonts w:ascii="Times New Roman" w:hAnsi="Times New Roman" w:cs="Times New Roman"/>
                <w:noProof/>
                <w:webHidden/>
                <w:sz w:val="24"/>
                <w:szCs w:val="24"/>
              </w:rPr>
              <w:fldChar w:fldCharType="end"/>
            </w:r>
          </w:hyperlink>
        </w:p>
        <w:p w14:paraId="65446338" w14:textId="2E10B9B6"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70" w:history="1">
            <w:r w:rsidRPr="006948C8">
              <w:rPr>
                <w:rStyle w:val="Hyperlink"/>
                <w:rFonts w:ascii="Times New Roman" w:eastAsia="Times New Roman" w:hAnsi="Times New Roman" w:cs="Times New Roman"/>
                <w:noProof/>
                <w:sz w:val="24"/>
                <w:szCs w:val="24"/>
              </w:rPr>
              <w:t>1.7 Definition of Key Terms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_Toc235800170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Pr="006948C8">
              <w:rPr>
                <w:rFonts w:ascii="Times New Roman" w:hAnsi="Times New Roman" w:cs="Times New Roman"/>
                <w:noProof/>
                <w:webHidden/>
                <w:sz w:val="24"/>
                <w:szCs w:val="24"/>
              </w:rPr>
              <w:fldChar w:fldCharType="end"/>
            </w:r>
          </w:hyperlink>
        </w:p>
        <w:p w14:paraId="0B9F4C6A" w14:textId="774EB599"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71" w:history="1">
            <w:r w:rsidRPr="006948C8">
              <w:rPr>
                <w:rStyle w:val="Hyperlink"/>
                <w:rFonts w:ascii="Times New Roman" w:eastAsia="Times New Roman" w:hAnsi="Times New Roman" w:cs="Times New Roman"/>
                <w:noProof/>
                <w:sz w:val="24"/>
                <w:szCs w:val="24"/>
              </w:rPr>
              <w:t>1.8 Organization of the Thesis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_Toc235800171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Pr="006948C8">
              <w:rPr>
                <w:rFonts w:ascii="Times New Roman" w:hAnsi="Times New Roman" w:cs="Times New Roman"/>
                <w:noProof/>
                <w:webHidden/>
                <w:sz w:val="24"/>
                <w:szCs w:val="24"/>
              </w:rPr>
              <w:fldChar w:fldCharType="end"/>
            </w:r>
          </w:hyperlink>
        </w:p>
        <w:p w14:paraId="794335A7" w14:textId="1C60AE66"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72" w:history="1">
            <w:r w:rsidRPr="006948C8">
              <w:rPr>
                <w:rStyle w:val="Hyperlink"/>
                <w:rFonts w:ascii="Times New Roman" w:eastAsia="Times New Roman" w:hAnsi="Times New Roman" w:cs="Times New Roman"/>
                <w:noProof/>
                <w:sz w:val="24"/>
                <w:szCs w:val="24"/>
              </w:rPr>
              <w:t>2. Literature Review</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_Toc235800172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Pr="006948C8">
              <w:rPr>
                <w:rFonts w:ascii="Times New Roman" w:hAnsi="Times New Roman" w:cs="Times New Roman"/>
                <w:noProof/>
                <w:webHidden/>
                <w:sz w:val="24"/>
                <w:szCs w:val="24"/>
              </w:rPr>
              <w:fldChar w:fldCharType="end"/>
            </w:r>
          </w:hyperlink>
        </w:p>
        <w:p w14:paraId="226E3BE2" w14:textId="15E17F48"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73" w:history="1">
            <w:r w:rsidRPr="006948C8">
              <w:rPr>
                <w:rStyle w:val="Hyperlink"/>
                <w:rFonts w:ascii="Times New Roman" w:eastAsia="Times New Roman" w:hAnsi="Times New Roman" w:cs="Times New Roman"/>
                <w:noProof/>
                <w:sz w:val="24"/>
                <w:szCs w:val="24"/>
              </w:rPr>
              <w:t>2.1 Introduction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_Toc235800173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Pr="006948C8">
              <w:rPr>
                <w:rFonts w:ascii="Times New Roman" w:hAnsi="Times New Roman" w:cs="Times New Roman"/>
                <w:noProof/>
                <w:webHidden/>
                <w:sz w:val="24"/>
                <w:szCs w:val="24"/>
              </w:rPr>
              <w:fldChar w:fldCharType="end"/>
            </w:r>
          </w:hyperlink>
        </w:p>
        <w:p w14:paraId="79FC1C73" w14:textId="57FA24CF"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74" w:history="1">
            <w:r w:rsidRPr="006948C8">
              <w:rPr>
                <w:rStyle w:val="Hyperlink"/>
                <w:rFonts w:ascii="Times New Roman" w:eastAsia="Times New Roman" w:hAnsi="Times New Roman" w:cs="Times New Roman"/>
                <w:noProof/>
                <w:sz w:val="24"/>
                <w:szCs w:val="24"/>
              </w:rPr>
              <w:t>2.2 Culture and Metacognition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_Toc235800174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Pr="006948C8">
              <w:rPr>
                <w:rFonts w:ascii="Times New Roman" w:hAnsi="Times New Roman" w:cs="Times New Roman"/>
                <w:noProof/>
                <w:webHidden/>
                <w:sz w:val="24"/>
                <w:szCs w:val="24"/>
              </w:rPr>
              <w:fldChar w:fldCharType="end"/>
            </w:r>
          </w:hyperlink>
        </w:p>
        <w:p w14:paraId="57DC4F54" w14:textId="1A2F2B81"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75" w:history="1">
            <w:r w:rsidRPr="006948C8">
              <w:rPr>
                <w:rStyle w:val="Hyperlink"/>
                <w:rFonts w:ascii="Times New Roman" w:eastAsia="Times New Roman" w:hAnsi="Times New Roman" w:cs="Times New Roman"/>
                <w:noProof/>
                <w:sz w:val="24"/>
                <w:szCs w:val="24"/>
              </w:rPr>
              <w:t>2.3 Sociocultural Theory of Learning</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_Toc235800175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Pr="006948C8">
              <w:rPr>
                <w:rFonts w:ascii="Times New Roman" w:hAnsi="Times New Roman" w:cs="Times New Roman"/>
                <w:noProof/>
                <w:webHidden/>
                <w:sz w:val="24"/>
                <w:szCs w:val="24"/>
              </w:rPr>
              <w:fldChar w:fldCharType="end"/>
            </w:r>
          </w:hyperlink>
        </w:p>
        <w:p w14:paraId="39DC248E" w14:textId="2FBCCEDF"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76" w:history="1">
            <w:r w:rsidRPr="006948C8">
              <w:rPr>
                <w:rStyle w:val="Hyperlink"/>
                <w:rFonts w:ascii="Times New Roman" w:eastAsia="Times New Roman" w:hAnsi="Times New Roman" w:cs="Times New Roman"/>
                <w:noProof/>
                <w:sz w:val="24"/>
                <w:szCs w:val="24"/>
              </w:rPr>
              <w:t>2.4 Epistemological Beliefs and Learning Development</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_Toc235800176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Pr="006948C8">
              <w:rPr>
                <w:rFonts w:ascii="Times New Roman" w:hAnsi="Times New Roman" w:cs="Times New Roman"/>
                <w:noProof/>
                <w:webHidden/>
                <w:sz w:val="24"/>
                <w:szCs w:val="24"/>
              </w:rPr>
              <w:fldChar w:fldCharType="end"/>
            </w:r>
          </w:hyperlink>
        </w:p>
        <w:p w14:paraId="4D7329A9" w14:textId="67CA2CFF"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77" w:history="1">
            <w:r w:rsidRPr="006948C8">
              <w:rPr>
                <w:rStyle w:val="Hyperlink"/>
                <w:rFonts w:ascii="Times New Roman" w:eastAsia="Times New Roman" w:hAnsi="Times New Roman" w:cs="Times New Roman"/>
                <w:noProof/>
                <w:sz w:val="24"/>
                <w:szCs w:val="24"/>
              </w:rPr>
              <w:t>2.5 Culturally Responsive Pedagogy</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_Toc235800177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Pr="006948C8">
              <w:rPr>
                <w:rFonts w:ascii="Times New Roman" w:hAnsi="Times New Roman" w:cs="Times New Roman"/>
                <w:noProof/>
                <w:webHidden/>
                <w:sz w:val="24"/>
                <w:szCs w:val="24"/>
              </w:rPr>
              <w:fldChar w:fldCharType="end"/>
            </w:r>
          </w:hyperlink>
        </w:p>
        <w:p w14:paraId="56121C93" w14:textId="2B20F27C"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78" w:history="1">
            <w:r w:rsidRPr="006948C8">
              <w:rPr>
                <w:rStyle w:val="Hyperlink"/>
                <w:rFonts w:ascii="Times New Roman" w:eastAsia="Times New Roman" w:hAnsi="Times New Roman" w:cs="Times New Roman"/>
                <w:noProof/>
                <w:sz w:val="24"/>
                <w:szCs w:val="24"/>
              </w:rPr>
              <w:t>2.6 Metacognition in Cross-Cultural Higher Education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_Toc235800178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Pr="006948C8">
              <w:rPr>
                <w:rFonts w:ascii="Times New Roman" w:hAnsi="Times New Roman" w:cs="Times New Roman"/>
                <w:noProof/>
                <w:webHidden/>
                <w:sz w:val="24"/>
                <w:szCs w:val="24"/>
              </w:rPr>
              <w:fldChar w:fldCharType="end"/>
            </w:r>
          </w:hyperlink>
        </w:p>
        <w:p w14:paraId="0FDF07A0" w14:textId="5CF753D3"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79" w:history="1">
            <w:r w:rsidRPr="006948C8">
              <w:rPr>
                <w:rStyle w:val="Hyperlink"/>
                <w:rFonts w:ascii="Times New Roman" w:eastAsia="Times New Roman" w:hAnsi="Times New Roman" w:cs="Times New Roman"/>
                <w:noProof/>
                <w:sz w:val="24"/>
                <w:szCs w:val="24"/>
              </w:rPr>
              <w:t>2.7 Research Gap</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_Toc235800179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Pr="006948C8">
              <w:rPr>
                <w:rFonts w:ascii="Times New Roman" w:hAnsi="Times New Roman" w:cs="Times New Roman"/>
                <w:noProof/>
                <w:webHidden/>
                <w:sz w:val="24"/>
                <w:szCs w:val="24"/>
              </w:rPr>
              <w:fldChar w:fldCharType="end"/>
            </w:r>
          </w:hyperlink>
        </w:p>
        <w:p w14:paraId="7A343EE4" w14:textId="1BAA871D"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80" w:history="1">
            <w:r w:rsidRPr="006948C8">
              <w:rPr>
                <w:rStyle w:val="Hyperlink"/>
                <w:rFonts w:ascii="Times New Roman" w:eastAsia="Times New Roman" w:hAnsi="Times New Roman" w:cs="Times New Roman"/>
                <w:noProof/>
                <w:sz w:val="24"/>
                <w:szCs w:val="24"/>
              </w:rPr>
              <w:t>2.8 Conceptual Framework</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_Toc235800180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Pr="006948C8">
              <w:rPr>
                <w:rFonts w:ascii="Times New Roman" w:hAnsi="Times New Roman" w:cs="Times New Roman"/>
                <w:noProof/>
                <w:webHidden/>
                <w:sz w:val="24"/>
                <w:szCs w:val="24"/>
              </w:rPr>
              <w:fldChar w:fldCharType="end"/>
            </w:r>
          </w:hyperlink>
        </w:p>
        <w:p w14:paraId="415DB2C1" w14:textId="53727346"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81" w:history="1">
            <w:r w:rsidRPr="006948C8">
              <w:rPr>
                <w:rStyle w:val="Hyperlink"/>
                <w:rFonts w:ascii="Times New Roman" w:eastAsia="Times New Roman" w:hAnsi="Times New Roman" w:cs="Times New Roman"/>
                <w:noProof/>
                <w:sz w:val="24"/>
                <w:szCs w:val="24"/>
              </w:rPr>
              <w:t>3. Methodology</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_Toc235800181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Pr="006948C8">
              <w:rPr>
                <w:rFonts w:ascii="Times New Roman" w:hAnsi="Times New Roman" w:cs="Times New Roman"/>
                <w:noProof/>
                <w:webHidden/>
                <w:sz w:val="24"/>
                <w:szCs w:val="24"/>
              </w:rPr>
              <w:fldChar w:fldCharType="end"/>
            </w:r>
          </w:hyperlink>
        </w:p>
        <w:p w14:paraId="429F6EC1" w14:textId="3A788C27"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82" w:history="1">
            <w:r w:rsidRPr="006948C8">
              <w:rPr>
                <w:rStyle w:val="Hyperlink"/>
                <w:rFonts w:ascii="Times New Roman" w:eastAsia="Times New Roman" w:hAnsi="Times New Roman" w:cs="Times New Roman"/>
                <w:noProof/>
                <w:sz w:val="24"/>
                <w:szCs w:val="24"/>
              </w:rPr>
              <w:t>3.1 Introduction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_Toc235800182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Pr="006948C8">
              <w:rPr>
                <w:rFonts w:ascii="Times New Roman" w:hAnsi="Times New Roman" w:cs="Times New Roman"/>
                <w:noProof/>
                <w:webHidden/>
                <w:sz w:val="24"/>
                <w:szCs w:val="24"/>
              </w:rPr>
              <w:fldChar w:fldCharType="end"/>
            </w:r>
          </w:hyperlink>
        </w:p>
        <w:p w14:paraId="7968B761" w14:textId="1259FF02"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83" w:history="1">
            <w:r w:rsidRPr="006948C8">
              <w:rPr>
                <w:rStyle w:val="Hyperlink"/>
                <w:rFonts w:ascii="Times New Roman" w:eastAsia="Times New Roman" w:hAnsi="Times New Roman" w:cs="Times New Roman"/>
                <w:noProof/>
                <w:sz w:val="24"/>
                <w:szCs w:val="24"/>
              </w:rPr>
              <w:t>3.2 Research Paradigm</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_Toc235800183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Pr="006948C8">
              <w:rPr>
                <w:rFonts w:ascii="Times New Roman" w:hAnsi="Times New Roman" w:cs="Times New Roman"/>
                <w:noProof/>
                <w:webHidden/>
                <w:sz w:val="24"/>
                <w:szCs w:val="24"/>
              </w:rPr>
              <w:fldChar w:fldCharType="end"/>
            </w:r>
          </w:hyperlink>
        </w:p>
        <w:p w14:paraId="414FF934" w14:textId="768EE102"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84" w:history="1">
            <w:r w:rsidRPr="006948C8">
              <w:rPr>
                <w:rStyle w:val="Hyperlink"/>
                <w:rFonts w:ascii="Times New Roman" w:eastAsia="Times New Roman" w:hAnsi="Times New Roman" w:cs="Times New Roman"/>
                <w:noProof/>
                <w:sz w:val="24"/>
                <w:szCs w:val="24"/>
              </w:rPr>
              <w:t>3.3 Research Design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_Toc235800184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Pr="006948C8">
              <w:rPr>
                <w:rFonts w:ascii="Times New Roman" w:hAnsi="Times New Roman" w:cs="Times New Roman"/>
                <w:noProof/>
                <w:webHidden/>
                <w:sz w:val="24"/>
                <w:szCs w:val="24"/>
              </w:rPr>
              <w:fldChar w:fldCharType="end"/>
            </w:r>
          </w:hyperlink>
        </w:p>
        <w:p w14:paraId="34180833" w14:textId="5A84769A"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85" w:history="1">
            <w:r w:rsidRPr="006948C8">
              <w:rPr>
                <w:rStyle w:val="Hyperlink"/>
                <w:rFonts w:ascii="Times New Roman" w:eastAsia="Times New Roman" w:hAnsi="Times New Roman" w:cs="Times New Roman"/>
                <w:noProof/>
                <w:sz w:val="24"/>
                <w:szCs w:val="24"/>
              </w:rPr>
              <w:t>3.4 Research Site and Context</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_Toc235800185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Pr="006948C8">
              <w:rPr>
                <w:rFonts w:ascii="Times New Roman" w:hAnsi="Times New Roman" w:cs="Times New Roman"/>
                <w:noProof/>
                <w:webHidden/>
                <w:sz w:val="24"/>
                <w:szCs w:val="24"/>
              </w:rPr>
              <w:fldChar w:fldCharType="end"/>
            </w:r>
          </w:hyperlink>
        </w:p>
        <w:p w14:paraId="18FF4ADF" w14:textId="359877C4"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86" w:history="1">
            <w:r w:rsidRPr="006948C8">
              <w:rPr>
                <w:rStyle w:val="Hyperlink"/>
                <w:rFonts w:ascii="Times New Roman" w:eastAsia="Times New Roman" w:hAnsi="Times New Roman" w:cs="Times New Roman"/>
                <w:noProof/>
                <w:sz w:val="24"/>
                <w:szCs w:val="24"/>
              </w:rPr>
              <w:t>3.5 Participant Selection and Sampling Strategy</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_Toc235800186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Pr="006948C8">
              <w:rPr>
                <w:rFonts w:ascii="Times New Roman" w:hAnsi="Times New Roman" w:cs="Times New Roman"/>
                <w:noProof/>
                <w:webHidden/>
                <w:sz w:val="24"/>
                <w:szCs w:val="24"/>
              </w:rPr>
              <w:fldChar w:fldCharType="end"/>
            </w:r>
          </w:hyperlink>
        </w:p>
        <w:p w14:paraId="14E80549" w14:textId="2C15340A"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87" w:history="1">
            <w:r w:rsidRPr="006948C8">
              <w:rPr>
                <w:rStyle w:val="Hyperlink"/>
                <w:rFonts w:ascii="Times New Roman" w:eastAsia="Times New Roman" w:hAnsi="Times New Roman" w:cs="Times New Roman"/>
                <w:noProof/>
                <w:sz w:val="24"/>
                <w:szCs w:val="24"/>
              </w:rPr>
              <w:t>3.6 Data Collection Methods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_Toc235800187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Pr="006948C8">
              <w:rPr>
                <w:rFonts w:ascii="Times New Roman" w:hAnsi="Times New Roman" w:cs="Times New Roman"/>
                <w:noProof/>
                <w:webHidden/>
                <w:sz w:val="24"/>
                <w:szCs w:val="24"/>
              </w:rPr>
              <w:fldChar w:fldCharType="end"/>
            </w:r>
          </w:hyperlink>
        </w:p>
        <w:p w14:paraId="241F84CF" w14:textId="1E9293C8"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88" w:history="1">
            <w:r w:rsidRPr="006948C8">
              <w:rPr>
                <w:rStyle w:val="Hyperlink"/>
                <w:rFonts w:ascii="Times New Roman" w:eastAsia="Times New Roman" w:hAnsi="Times New Roman" w:cs="Times New Roman"/>
                <w:noProof/>
                <w:sz w:val="24"/>
                <w:szCs w:val="24"/>
              </w:rPr>
              <w:t>3.6.1 Semi-Structured Interviews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_Toc235800188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Pr="006948C8">
              <w:rPr>
                <w:rFonts w:ascii="Times New Roman" w:hAnsi="Times New Roman" w:cs="Times New Roman"/>
                <w:noProof/>
                <w:webHidden/>
                <w:sz w:val="24"/>
                <w:szCs w:val="24"/>
              </w:rPr>
              <w:fldChar w:fldCharType="end"/>
            </w:r>
          </w:hyperlink>
        </w:p>
        <w:p w14:paraId="6836B105" w14:textId="34F5E2AB"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89" w:history="1">
            <w:r w:rsidRPr="006948C8">
              <w:rPr>
                <w:rStyle w:val="Hyperlink"/>
                <w:rFonts w:ascii="Times New Roman" w:eastAsia="Times New Roman" w:hAnsi="Times New Roman" w:cs="Times New Roman"/>
                <w:noProof/>
                <w:sz w:val="24"/>
                <w:szCs w:val="24"/>
              </w:rPr>
              <w:t>3.6.2 Photovoice</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_Toc235800189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Pr="006948C8">
              <w:rPr>
                <w:rFonts w:ascii="Times New Roman" w:hAnsi="Times New Roman" w:cs="Times New Roman"/>
                <w:noProof/>
                <w:webHidden/>
                <w:sz w:val="24"/>
                <w:szCs w:val="24"/>
              </w:rPr>
              <w:fldChar w:fldCharType="end"/>
            </w:r>
          </w:hyperlink>
        </w:p>
        <w:p w14:paraId="1531F306" w14:textId="696BD1A4"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90" w:history="1">
            <w:r w:rsidRPr="006948C8">
              <w:rPr>
                <w:rStyle w:val="Hyperlink"/>
                <w:rFonts w:ascii="Times New Roman" w:eastAsia="Times New Roman" w:hAnsi="Times New Roman" w:cs="Times New Roman"/>
                <w:noProof/>
                <w:sz w:val="24"/>
                <w:szCs w:val="24"/>
              </w:rPr>
              <w:t>3.6.3 Focus Group Discussion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_Toc235800190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Pr="006948C8">
              <w:rPr>
                <w:rFonts w:ascii="Times New Roman" w:hAnsi="Times New Roman" w:cs="Times New Roman"/>
                <w:noProof/>
                <w:webHidden/>
                <w:sz w:val="24"/>
                <w:szCs w:val="24"/>
              </w:rPr>
              <w:fldChar w:fldCharType="end"/>
            </w:r>
          </w:hyperlink>
        </w:p>
        <w:p w14:paraId="3844D75D" w14:textId="55C5F64C"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91" w:history="1">
            <w:r w:rsidRPr="006948C8">
              <w:rPr>
                <w:rStyle w:val="Hyperlink"/>
                <w:rFonts w:ascii="Times New Roman" w:eastAsia="Times New Roman" w:hAnsi="Times New Roman" w:cs="Times New Roman"/>
                <w:noProof/>
                <w:sz w:val="24"/>
                <w:szCs w:val="24"/>
              </w:rPr>
              <w:t>3.7 Researcher Positionality</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_Toc235800191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Pr="006948C8">
              <w:rPr>
                <w:rFonts w:ascii="Times New Roman" w:hAnsi="Times New Roman" w:cs="Times New Roman"/>
                <w:noProof/>
                <w:webHidden/>
                <w:sz w:val="24"/>
                <w:szCs w:val="24"/>
              </w:rPr>
              <w:fldChar w:fldCharType="end"/>
            </w:r>
          </w:hyperlink>
        </w:p>
        <w:p w14:paraId="4406EEBD" w14:textId="17F77A92"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92" w:history="1">
            <w:r w:rsidRPr="006948C8">
              <w:rPr>
                <w:rStyle w:val="Hyperlink"/>
                <w:rFonts w:ascii="Times New Roman" w:eastAsia="Times New Roman" w:hAnsi="Times New Roman" w:cs="Times New Roman"/>
                <w:noProof/>
                <w:sz w:val="24"/>
                <w:szCs w:val="24"/>
              </w:rPr>
              <w:t>3.8 Data Analysis Procedures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_Toc235800192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Pr="006948C8">
              <w:rPr>
                <w:rFonts w:ascii="Times New Roman" w:hAnsi="Times New Roman" w:cs="Times New Roman"/>
                <w:noProof/>
                <w:webHidden/>
                <w:sz w:val="24"/>
                <w:szCs w:val="24"/>
              </w:rPr>
              <w:fldChar w:fldCharType="end"/>
            </w:r>
          </w:hyperlink>
        </w:p>
        <w:p w14:paraId="5901AE56" w14:textId="242331F9"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93" w:history="1">
            <w:r w:rsidRPr="006948C8">
              <w:rPr>
                <w:rStyle w:val="Hyperlink"/>
                <w:rFonts w:ascii="Times New Roman" w:eastAsia="Times New Roman" w:hAnsi="Times New Roman" w:cs="Times New Roman"/>
                <w:noProof/>
                <w:sz w:val="24"/>
                <w:szCs w:val="24"/>
              </w:rPr>
              <w:t>3.9 Trustworthiness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_Toc235800193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Pr="006948C8">
              <w:rPr>
                <w:rFonts w:ascii="Times New Roman" w:hAnsi="Times New Roman" w:cs="Times New Roman"/>
                <w:noProof/>
                <w:webHidden/>
                <w:sz w:val="24"/>
                <w:szCs w:val="24"/>
              </w:rPr>
              <w:fldChar w:fldCharType="end"/>
            </w:r>
          </w:hyperlink>
        </w:p>
        <w:p w14:paraId="308A05BD" w14:textId="55F4CBF5"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94" w:history="1">
            <w:r w:rsidRPr="006948C8">
              <w:rPr>
                <w:rStyle w:val="Hyperlink"/>
                <w:rFonts w:ascii="Times New Roman" w:eastAsia="Times New Roman" w:hAnsi="Times New Roman" w:cs="Times New Roman"/>
                <w:noProof/>
                <w:sz w:val="24"/>
                <w:szCs w:val="24"/>
              </w:rPr>
              <w:t>3.10 Ethical Considerations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_Toc235800194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Pr="006948C8">
              <w:rPr>
                <w:rFonts w:ascii="Times New Roman" w:hAnsi="Times New Roman" w:cs="Times New Roman"/>
                <w:noProof/>
                <w:webHidden/>
                <w:sz w:val="24"/>
                <w:szCs w:val="24"/>
              </w:rPr>
              <w:fldChar w:fldCharType="end"/>
            </w:r>
          </w:hyperlink>
        </w:p>
        <w:p w14:paraId="3A0AFE19" w14:textId="037E64B2"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95" w:history="1">
            <w:r w:rsidRPr="006948C8">
              <w:rPr>
                <w:rStyle w:val="Hyperlink"/>
                <w:rFonts w:ascii="Times New Roman" w:eastAsia="Times New Roman" w:hAnsi="Times New Roman" w:cs="Times New Roman"/>
                <w:noProof/>
                <w:sz w:val="24"/>
                <w:szCs w:val="24"/>
              </w:rPr>
              <w:t>4. Findings and Analysis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_Toc235800195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Pr="006948C8">
              <w:rPr>
                <w:rFonts w:ascii="Times New Roman" w:hAnsi="Times New Roman" w:cs="Times New Roman"/>
                <w:noProof/>
                <w:webHidden/>
                <w:sz w:val="24"/>
                <w:szCs w:val="24"/>
              </w:rPr>
              <w:fldChar w:fldCharType="end"/>
            </w:r>
          </w:hyperlink>
        </w:p>
        <w:p w14:paraId="52C2E823" w14:textId="7C48C862"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96" w:history="1">
            <w:r w:rsidRPr="006948C8">
              <w:rPr>
                <w:rStyle w:val="Hyperlink"/>
                <w:rFonts w:ascii="Times New Roman" w:eastAsia="Times New Roman" w:hAnsi="Times New Roman" w:cs="Times New Roman"/>
                <w:noProof/>
                <w:sz w:val="24"/>
                <w:szCs w:val="24"/>
              </w:rPr>
              <w:t>4.1 Introduction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_Toc235800196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Pr="006948C8">
              <w:rPr>
                <w:rFonts w:ascii="Times New Roman" w:hAnsi="Times New Roman" w:cs="Times New Roman"/>
                <w:noProof/>
                <w:webHidden/>
                <w:sz w:val="24"/>
                <w:szCs w:val="24"/>
              </w:rPr>
              <w:fldChar w:fldCharType="end"/>
            </w:r>
          </w:hyperlink>
        </w:p>
        <w:p w14:paraId="1A506580" w14:textId="177A5D2C"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97" w:history="1">
            <w:r w:rsidRPr="006948C8">
              <w:rPr>
                <w:rStyle w:val="Hyperlink"/>
                <w:rFonts w:ascii="Times New Roman" w:eastAsia="Times New Roman" w:hAnsi="Times New Roman" w:cs="Times New Roman"/>
                <w:noProof/>
                <w:sz w:val="24"/>
                <w:szCs w:val="24"/>
              </w:rPr>
              <w:t>Table 4.1</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_Toc235800197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Pr="006948C8">
              <w:rPr>
                <w:rFonts w:ascii="Times New Roman" w:hAnsi="Times New Roman" w:cs="Times New Roman"/>
                <w:noProof/>
                <w:webHidden/>
                <w:sz w:val="24"/>
                <w:szCs w:val="24"/>
              </w:rPr>
              <w:fldChar w:fldCharType="end"/>
            </w:r>
          </w:hyperlink>
        </w:p>
        <w:p w14:paraId="1952B0BA" w14:textId="7B79B0EF"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98" w:history="1">
            <w:r w:rsidRPr="006948C8">
              <w:rPr>
                <w:rStyle w:val="Hyperlink"/>
                <w:rFonts w:ascii="Times New Roman" w:eastAsia="Times New Roman" w:hAnsi="Times New Roman" w:cs="Times New Roman"/>
                <w:noProof/>
                <w:sz w:val="24"/>
                <w:szCs w:val="24"/>
              </w:rPr>
              <w:t>4.2 Participant Profile</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_Toc235800198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Pr="006948C8">
              <w:rPr>
                <w:rFonts w:ascii="Times New Roman" w:hAnsi="Times New Roman" w:cs="Times New Roman"/>
                <w:noProof/>
                <w:webHidden/>
                <w:sz w:val="24"/>
                <w:szCs w:val="24"/>
              </w:rPr>
              <w:fldChar w:fldCharType="end"/>
            </w:r>
          </w:hyperlink>
        </w:p>
        <w:p w14:paraId="14527F27" w14:textId="5505D2CF"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199" w:history="1">
            <w:r w:rsidRPr="006948C8">
              <w:rPr>
                <w:rStyle w:val="Hyperlink"/>
                <w:rFonts w:ascii="Times New Roman" w:hAnsi="Times New Roman" w:cs="Times New Roman"/>
                <w:noProof/>
                <w:sz w:val="24"/>
                <w:szCs w:val="24"/>
              </w:rPr>
              <w:t>4.3 Theme 1: Tactical Scaffolding and Environment Engineering in Response to Pedagogical Shock</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_Toc235800199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Pr="006948C8">
              <w:rPr>
                <w:rFonts w:ascii="Times New Roman" w:hAnsi="Times New Roman" w:cs="Times New Roman"/>
                <w:noProof/>
                <w:webHidden/>
                <w:sz w:val="24"/>
                <w:szCs w:val="24"/>
              </w:rPr>
              <w:fldChar w:fldCharType="end"/>
            </w:r>
          </w:hyperlink>
        </w:p>
        <w:p w14:paraId="3BE4BBC2" w14:textId="38BCD5EB"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00" w:history="1">
            <w:r w:rsidRPr="006948C8">
              <w:rPr>
                <w:rStyle w:val="Hyperlink"/>
                <w:rFonts w:ascii="Times New Roman" w:eastAsia="Times New Roman" w:hAnsi="Times New Roman" w:cs="Times New Roman"/>
                <w:noProof/>
                <w:sz w:val="24"/>
                <w:szCs w:val="24"/>
              </w:rPr>
              <w:t>4.3.1 Negotiating Pedagogical Shock Through Externalized Planning</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_Toc235800200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Pr="006948C8">
              <w:rPr>
                <w:rFonts w:ascii="Times New Roman" w:hAnsi="Times New Roman" w:cs="Times New Roman"/>
                <w:noProof/>
                <w:webHidden/>
                <w:sz w:val="24"/>
                <w:szCs w:val="24"/>
              </w:rPr>
              <w:fldChar w:fldCharType="end"/>
            </w:r>
          </w:hyperlink>
        </w:p>
        <w:p w14:paraId="5103CAFB" w14:textId="7CA9C966"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01" w:history="1">
            <w:r w:rsidRPr="006948C8">
              <w:rPr>
                <w:rStyle w:val="Hyperlink"/>
                <w:rFonts w:ascii="Times New Roman" w:eastAsia="Times New Roman" w:hAnsi="Times New Roman" w:cs="Times New Roman"/>
                <w:noProof/>
                <w:sz w:val="24"/>
                <w:szCs w:val="24"/>
              </w:rPr>
              <w:t>4.3.2 AI-Assisted Cognitive Scaffolding as a Strategy for Academic Adaptation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_Toc235800201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Pr="006948C8">
              <w:rPr>
                <w:rFonts w:ascii="Times New Roman" w:hAnsi="Times New Roman" w:cs="Times New Roman"/>
                <w:noProof/>
                <w:webHidden/>
                <w:sz w:val="24"/>
                <w:szCs w:val="24"/>
              </w:rPr>
              <w:fldChar w:fldCharType="end"/>
            </w:r>
          </w:hyperlink>
        </w:p>
        <w:p w14:paraId="198EE04B" w14:textId="5AF51421"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02" w:history="1">
            <w:r w:rsidRPr="006948C8">
              <w:rPr>
                <w:rStyle w:val="Hyperlink"/>
                <w:rFonts w:ascii="Times New Roman" w:eastAsia="Times New Roman" w:hAnsi="Times New Roman" w:cs="Times New Roman"/>
                <w:noProof/>
                <w:sz w:val="24"/>
                <w:szCs w:val="24"/>
              </w:rPr>
              <w:t>4.3.3 Deep Textual Processing and Meaning-Oriented Learning</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_Toc235800202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Pr="006948C8">
              <w:rPr>
                <w:rFonts w:ascii="Times New Roman" w:hAnsi="Times New Roman" w:cs="Times New Roman"/>
                <w:noProof/>
                <w:webHidden/>
                <w:sz w:val="24"/>
                <w:szCs w:val="24"/>
              </w:rPr>
              <w:fldChar w:fldCharType="end"/>
            </w:r>
          </w:hyperlink>
        </w:p>
        <w:p w14:paraId="193F604F" w14:textId="5EF27BC6"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03" w:history="1">
            <w:r w:rsidRPr="006948C8">
              <w:rPr>
                <w:rStyle w:val="Hyperlink"/>
                <w:rFonts w:ascii="Times New Roman" w:eastAsia="Times New Roman" w:hAnsi="Times New Roman" w:cs="Times New Roman"/>
                <w:noProof/>
                <w:sz w:val="24"/>
                <w:szCs w:val="24"/>
              </w:rPr>
              <w:t>4.3.4 Language, Participation Anxiety and Strategy Adaptation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_Toc235800203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Pr="006948C8">
              <w:rPr>
                <w:rFonts w:ascii="Times New Roman" w:hAnsi="Times New Roman" w:cs="Times New Roman"/>
                <w:noProof/>
                <w:webHidden/>
                <w:sz w:val="24"/>
                <w:szCs w:val="24"/>
              </w:rPr>
              <w:fldChar w:fldCharType="end"/>
            </w:r>
          </w:hyperlink>
        </w:p>
        <w:p w14:paraId="2F5E7FFB" w14:textId="247462BA"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04" w:history="1">
            <w:r w:rsidRPr="006948C8">
              <w:rPr>
                <w:rStyle w:val="Hyperlink"/>
                <w:rFonts w:ascii="Times New Roman" w:eastAsia="Times New Roman" w:hAnsi="Times New Roman" w:cs="Times New Roman"/>
                <w:noProof/>
                <w:sz w:val="24"/>
                <w:szCs w:val="24"/>
              </w:rPr>
              <w:t>4.4 Theme 2: From Monolithic Truth to Epistemological Pluralism through Peer-Mediated Disagreement</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_Toc235800204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Pr="006948C8">
              <w:rPr>
                <w:rFonts w:ascii="Times New Roman" w:hAnsi="Times New Roman" w:cs="Times New Roman"/>
                <w:noProof/>
                <w:webHidden/>
                <w:sz w:val="24"/>
                <w:szCs w:val="24"/>
              </w:rPr>
              <w:fldChar w:fldCharType="end"/>
            </w:r>
          </w:hyperlink>
        </w:p>
        <w:p w14:paraId="57608C62" w14:textId="289B140F"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05" w:history="1">
            <w:r w:rsidRPr="006948C8">
              <w:rPr>
                <w:rStyle w:val="Hyperlink"/>
                <w:rFonts w:ascii="Times New Roman" w:hAnsi="Times New Roman" w:cs="Times New Roman"/>
                <w:noProof/>
                <w:sz w:val="24"/>
                <w:szCs w:val="24"/>
              </w:rPr>
              <w:t>4.4.1 Transition from Authority-Dependent Learning to Peer-Mediated Sense-Making</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_Toc235800205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Pr="006948C8">
              <w:rPr>
                <w:rFonts w:ascii="Times New Roman" w:hAnsi="Times New Roman" w:cs="Times New Roman"/>
                <w:noProof/>
                <w:webHidden/>
                <w:sz w:val="24"/>
                <w:szCs w:val="24"/>
              </w:rPr>
              <w:fldChar w:fldCharType="end"/>
            </w:r>
          </w:hyperlink>
        </w:p>
        <w:p w14:paraId="2DF68164" w14:textId="760AB17F"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06" w:history="1">
            <w:r w:rsidRPr="006948C8">
              <w:rPr>
                <w:rStyle w:val="Hyperlink"/>
                <w:rFonts w:ascii="Times New Roman" w:eastAsia="Times New Roman" w:hAnsi="Times New Roman" w:cs="Times New Roman"/>
                <w:noProof/>
                <w:sz w:val="24"/>
                <w:szCs w:val="24"/>
              </w:rPr>
              <w:t>4.4.2 Emergence of Epistemological Pluralism Through Intercultural Exposure</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_Toc235800206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Pr="006948C8">
              <w:rPr>
                <w:rFonts w:ascii="Times New Roman" w:hAnsi="Times New Roman" w:cs="Times New Roman"/>
                <w:noProof/>
                <w:webHidden/>
                <w:sz w:val="24"/>
                <w:szCs w:val="24"/>
              </w:rPr>
              <w:fldChar w:fldCharType="end"/>
            </w:r>
          </w:hyperlink>
        </w:p>
        <w:p w14:paraId="64CEA17B" w14:textId="563E7C1C"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07" w:history="1">
            <w:r w:rsidRPr="006948C8">
              <w:rPr>
                <w:rStyle w:val="Hyperlink"/>
                <w:rFonts w:ascii="Times New Roman" w:eastAsia="Times New Roman" w:hAnsi="Times New Roman" w:cs="Times New Roman"/>
                <w:noProof/>
                <w:sz w:val="24"/>
                <w:szCs w:val="24"/>
              </w:rPr>
              <w:t>4.4.3 Negotiating Anxiety, Participation and Cognitive Risk-Taking</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_Toc235800207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Pr="006948C8">
              <w:rPr>
                <w:rFonts w:ascii="Times New Roman" w:hAnsi="Times New Roman" w:cs="Times New Roman"/>
                <w:noProof/>
                <w:webHidden/>
                <w:sz w:val="24"/>
                <w:szCs w:val="24"/>
              </w:rPr>
              <w:fldChar w:fldCharType="end"/>
            </w:r>
          </w:hyperlink>
        </w:p>
        <w:p w14:paraId="6615E8D0" w14:textId="587BF067"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08" w:history="1">
            <w:r w:rsidRPr="006948C8">
              <w:rPr>
                <w:rStyle w:val="Hyperlink"/>
                <w:rFonts w:ascii="Times New Roman" w:eastAsia="Times New Roman" w:hAnsi="Times New Roman" w:cs="Times New Roman"/>
                <w:noProof/>
                <w:sz w:val="24"/>
                <w:szCs w:val="24"/>
              </w:rPr>
              <w:t>4.4.4 Reconstructing Learning Identity Through Collective Knowledge Production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_Toc235800208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w:t>
            </w:r>
            <w:r w:rsidRPr="006948C8">
              <w:rPr>
                <w:rFonts w:ascii="Times New Roman" w:hAnsi="Times New Roman" w:cs="Times New Roman"/>
                <w:noProof/>
                <w:webHidden/>
                <w:sz w:val="24"/>
                <w:szCs w:val="24"/>
              </w:rPr>
              <w:fldChar w:fldCharType="end"/>
            </w:r>
          </w:hyperlink>
        </w:p>
        <w:p w14:paraId="71915A70" w14:textId="31848135"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09" w:history="1">
            <w:r w:rsidRPr="006948C8">
              <w:rPr>
                <w:rStyle w:val="Hyperlink"/>
                <w:rFonts w:ascii="Times New Roman" w:eastAsia="Times New Roman" w:hAnsi="Times New Roman" w:cs="Times New Roman"/>
                <w:noProof/>
                <w:sz w:val="24"/>
                <w:szCs w:val="24"/>
              </w:rPr>
              <w:t>4.5 Theme 3: Affective Self-Regulation and the Re-Anchoring of Education as a Civic Resilience Strategy</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_Toc235800209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Pr="006948C8">
              <w:rPr>
                <w:rFonts w:ascii="Times New Roman" w:hAnsi="Times New Roman" w:cs="Times New Roman"/>
                <w:noProof/>
                <w:webHidden/>
                <w:sz w:val="24"/>
                <w:szCs w:val="24"/>
              </w:rPr>
              <w:fldChar w:fldCharType="end"/>
            </w:r>
          </w:hyperlink>
        </w:p>
        <w:p w14:paraId="70476396" w14:textId="7BDE08B0"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10" w:history="1">
            <w:r w:rsidRPr="006948C8">
              <w:rPr>
                <w:rStyle w:val="Hyperlink"/>
                <w:rFonts w:ascii="Times New Roman" w:eastAsia="Times New Roman" w:hAnsi="Times New Roman" w:cs="Times New Roman"/>
                <w:noProof/>
                <w:sz w:val="24"/>
                <w:szCs w:val="24"/>
              </w:rPr>
              <w:t>4.5.1 Affective Strain and the Emotional Landscape of Graduate Learning</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_Toc235800210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Pr="006948C8">
              <w:rPr>
                <w:rFonts w:ascii="Times New Roman" w:hAnsi="Times New Roman" w:cs="Times New Roman"/>
                <w:noProof/>
                <w:webHidden/>
                <w:sz w:val="24"/>
                <w:szCs w:val="24"/>
              </w:rPr>
              <w:fldChar w:fldCharType="end"/>
            </w:r>
          </w:hyperlink>
        </w:p>
        <w:p w14:paraId="7DC456B8" w14:textId="7577C346"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11" w:history="1">
            <w:r w:rsidRPr="006948C8">
              <w:rPr>
                <w:rStyle w:val="Hyperlink"/>
                <w:rFonts w:ascii="Times New Roman" w:eastAsia="Times New Roman" w:hAnsi="Times New Roman" w:cs="Times New Roman"/>
                <w:noProof/>
                <w:sz w:val="24"/>
                <w:szCs w:val="24"/>
              </w:rPr>
              <w:t>4.5.2 Self-Regulation Through Wellbeing Practices and Environmental Care</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_Toc235800211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Pr="006948C8">
              <w:rPr>
                <w:rFonts w:ascii="Times New Roman" w:hAnsi="Times New Roman" w:cs="Times New Roman"/>
                <w:noProof/>
                <w:webHidden/>
                <w:sz w:val="24"/>
                <w:szCs w:val="24"/>
              </w:rPr>
              <w:fldChar w:fldCharType="end"/>
            </w:r>
          </w:hyperlink>
        </w:p>
        <w:p w14:paraId="703FB9F7" w14:textId="10C7CD5C"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12" w:history="1">
            <w:r w:rsidRPr="006948C8">
              <w:rPr>
                <w:rStyle w:val="Hyperlink"/>
                <w:rFonts w:ascii="Times New Roman" w:eastAsia="Times New Roman" w:hAnsi="Times New Roman" w:cs="Times New Roman"/>
                <w:noProof/>
                <w:sz w:val="24"/>
                <w:szCs w:val="24"/>
              </w:rPr>
              <w:t>4.5.3 From Performance Orientation to Meaning-Making and Civic Reorientation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_Toc235800212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Pr="006948C8">
              <w:rPr>
                <w:rFonts w:ascii="Times New Roman" w:hAnsi="Times New Roman" w:cs="Times New Roman"/>
                <w:noProof/>
                <w:webHidden/>
                <w:sz w:val="24"/>
                <w:szCs w:val="24"/>
              </w:rPr>
              <w:fldChar w:fldCharType="end"/>
            </w:r>
          </w:hyperlink>
        </w:p>
        <w:p w14:paraId="57CE32F0" w14:textId="05A2DC64"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13" w:history="1">
            <w:r w:rsidRPr="006948C8">
              <w:rPr>
                <w:rStyle w:val="Hyperlink"/>
                <w:rFonts w:ascii="Times New Roman" w:eastAsia="Times New Roman" w:hAnsi="Times New Roman" w:cs="Times New Roman"/>
                <w:noProof/>
                <w:sz w:val="24"/>
                <w:szCs w:val="24"/>
              </w:rPr>
              <w:t>4.5.4 Identity Transformation and the Re-Construction of the Learner Self</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_Toc235800213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Pr="006948C8">
              <w:rPr>
                <w:rFonts w:ascii="Times New Roman" w:hAnsi="Times New Roman" w:cs="Times New Roman"/>
                <w:noProof/>
                <w:webHidden/>
                <w:sz w:val="24"/>
                <w:szCs w:val="24"/>
              </w:rPr>
              <w:fldChar w:fldCharType="end"/>
            </w:r>
          </w:hyperlink>
        </w:p>
        <w:p w14:paraId="1C8504EB" w14:textId="60563EC9"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14" w:history="1">
            <w:r w:rsidRPr="006948C8">
              <w:rPr>
                <w:rStyle w:val="Hyperlink"/>
                <w:rFonts w:ascii="Times New Roman" w:eastAsia="Times New Roman" w:hAnsi="Times New Roman" w:cs="Times New Roman"/>
                <w:noProof/>
                <w:sz w:val="24"/>
                <w:szCs w:val="24"/>
              </w:rPr>
              <w:t>5. Discussion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_Toc235800214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Pr="006948C8">
              <w:rPr>
                <w:rFonts w:ascii="Times New Roman" w:hAnsi="Times New Roman" w:cs="Times New Roman"/>
                <w:noProof/>
                <w:webHidden/>
                <w:sz w:val="24"/>
                <w:szCs w:val="24"/>
              </w:rPr>
              <w:fldChar w:fldCharType="end"/>
            </w:r>
          </w:hyperlink>
        </w:p>
        <w:p w14:paraId="361A7C25" w14:textId="70BF79EC"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15" w:history="1">
            <w:r w:rsidRPr="006948C8">
              <w:rPr>
                <w:rStyle w:val="Hyperlink"/>
                <w:rFonts w:ascii="Times New Roman" w:eastAsia="Times New Roman" w:hAnsi="Times New Roman" w:cs="Times New Roman"/>
                <w:noProof/>
                <w:sz w:val="24"/>
                <w:szCs w:val="24"/>
              </w:rPr>
              <w:t>5.1 Introduction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_Toc235800215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Pr="006948C8">
              <w:rPr>
                <w:rFonts w:ascii="Times New Roman" w:hAnsi="Times New Roman" w:cs="Times New Roman"/>
                <w:noProof/>
                <w:webHidden/>
                <w:sz w:val="24"/>
                <w:szCs w:val="24"/>
              </w:rPr>
              <w:fldChar w:fldCharType="end"/>
            </w:r>
          </w:hyperlink>
        </w:p>
        <w:p w14:paraId="311969F0" w14:textId="4FD49A0B"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16" w:history="1">
            <w:r w:rsidRPr="006948C8">
              <w:rPr>
                <w:rStyle w:val="Hyperlink"/>
                <w:rFonts w:ascii="Times New Roman" w:eastAsia="Times New Roman" w:hAnsi="Times New Roman" w:cs="Times New Roman"/>
                <w:noProof/>
                <w:sz w:val="24"/>
                <w:szCs w:val="24"/>
              </w:rPr>
              <w:t>5.2 Discussion of Theme 1: Tactical Scaffolding and Environment Engineering in Response to Pedagogical Shock</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_Toc235800216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Pr="006948C8">
              <w:rPr>
                <w:rFonts w:ascii="Times New Roman" w:hAnsi="Times New Roman" w:cs="Times New Roman"/>
                <w:noProof/>
                <w:webHidden/>
                <w:sz w:val="24"/>
                <w:szCs w:val="24"/>
              </w:rPr>
              <w:fldChar w:fldCharType="end"/>
            </w:r>
          </w:hyperlink>
        </w:p>
        <w:p w14:paraId="3701F581" w14:textId="23034CB9"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17" w:history="1">
            <w:r w:rsidRPr="006948C8">
              <w:rPr>
                <w:rStyle w:val="Hyperlink"/>
                <w:rFonts w:ascii="Times New Roman" w:eastAsia="Times New Roman" w:hAnsi="Times New Roman" w:cs="Times New Roman"/>
                <w:noProof/>
                <w:sz w:val="24"/>
                <w:szCs w:val="24"/>
              </w:rPr>
              <w:t>5.3 Discussion of Theme 2: From Monolithic Truth to Epistemological Pluralism Through Peer-Mediated Disagreement</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_Toc235800217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Pr="006948C8">
              <w:rPr>
                <w:rFonts w:ascii="Times New Roman" w:hAnsi="Times New Roman" w:cs="Times New Roman"/>
                <w:noProof/>
                <w:webHidden/>
                <w:sz w:val="24"/>
                <w:szCs w:val="24"/>
              </w:rPr>
              <w:fldChar w:fldCharType="end"/>
            </w:r>
          </w:hyperlink>
        </w:p>
        <w:p w14:paraId="61341D1E" w14:textId="1B851CBF"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18" w:history="1">
            <w:r w:rsidRPr="006948C8">
              <w:rPr>
                <w:rStyle w:val="Hyperlink"/>
                <w:rFonts w:ascii="Times New Roman" w:eastAsia="Times New Roman" w:hAnsi="Times New Roman" w:cs="Times New Roman"/>
                <w:noProof/>
                <w:sz w:val="24"/>
                <w:szCs w:val="24"/>
              </w:rPr>
              <w:t>5.4 Discussion of Theme 3: Affective Self-Regulation and the Re-Anchoring of Education as a Civic Resilience Strategy</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_Toc235800218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Pr="006948C8">
              <w:rPr>
                <w:rFonts w:ascii="Times New Roman" w:hAnsi="Times New Roman" w:cs="Times New Roman"/>
                <w:noProof/>
                <w:webHidden/>
                <w:sz w:val="24"/>
                <w:szCs w:val="24"/>
              </w:rPr>
              <w:fldChar w:fldCharType="end"/>
            </w:r>
          </w:hyperlink>
        </w:p>
        <w:p w14:paraId="274DFE23" w14:textId="6240A24C"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19" w:history="1">
            <w:r w:rsidRPr="006948C8">
              <w:rPr>
                <w:rStyle w:val="Hyperlink"/>
                <w:rFonts w:ascii="Times New Roman" w:eastAsia="Times New Roman" w:hAnsi="Times New Roman" w:cs="Times New Roman"/>
                <w:noProof/>
                <w:sz w:val="24"/>
                <w:szCs w:val="24"/>
              </w:rPr>
              <w:t>5.5 Theoretical Contributions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_Toc235800219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w:t>
            </w:r>
            <w:r w:rsidRPr="006948C8">
              <w:rPr>
                <w:rFonts w:ascii="Times New Roman" w:hAnsi="Times New Roman" w:cs="Times New Roman"/>
                <w:noProof/>
                <w:webHidden/>
                <w:sz w:val="24"/>
                <w:szCs w:val="24"/>
              </w:rPr>
              <w:fldChar w:fldCharType="end"/>
            </w:r>
          </w:hyperlink>
        </w:p>
        <w:p w14:paraId="761B5051" w14:textId="4A1EFCBD"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20" w:history="1">
            <w:r w:rsidRPr="006948C8">
              <w:rPr>
                <w:rStyle w:val="Hyperlink"/>
                <w:rFonts w:ascii="Times New Roman" w:eastAsia="Times New Roman" w:hAnsi="Times New Roman" w:cs="Times New Roman"/>
                <w:noProof/>
                <w:sz w:val="24"/>
                <w:szCs w:val="24"/>
              </w:rPr>
              <w:t>5.5.1 Extending Metacognition Beyond Individual Cognition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_Toc235800220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Pr="006948C8">
              <w:rPr>
                <w:rFonts w:ascii="Times New Roman" w:hAnsi="Times New Roman" w:cs="Times New Roman"/>
                <w:noProof/>
                <w:webHidden/>
                <w:sz w:val="24"/>
                <w:szCs w:val="24"/>
              </w:rPr>
              <w:fldChar w:fldCharType="end"/>
            </w:r>
          </w:hyperlink>
        </w:p>
        <w:p w14:paraId="10E517D5" w14:textId="2A256D62"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21" w:history="1">
            <w:r w:rsidRPr="006948C8">
              <w:rPr>
                <w:rStyle w:val="Hyperlink"/>
                <w:rFonts w:ascii="Times New Roman" w:eastAsia="Times New Roman" w:hAnsi="Times New Roman" w:cs="Times New Roman"/>
                <w:noProof/>
                <w:sz w:val="24"/>
                <w:szCs w:val="24"/>
              </w:rPr>
              <w:t>5.5.2 Multicultural Interaction as a Catalyst for Epistemological Development</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_Toc235800221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63</w:t>
            </w:r>
            <w:r w:rsidRPr="006948C8">
              <w:rPr>
                <w:rFonts w:ascii="Times New Roman" w:hAnsi="Times New Roman" w:cs="Times New Roman"/>
                <w:noProof/>
                <w:webHidden/>
                <w:sz w:val="24"/>
                <w:szCs w:val="24"/>
              </w:rPr>
              <w:fldChar w:fldCharType="end"/>
            </w:r>
          </w:hyperlink>
        </w:p>
        <w:p w14:paraId="3FD00924" w14:textId="140B74D9"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22" w:history="1">
            <w:r w:rsidRPr="006948C8">
              <w:rPr>
                <w:rStyle w:val="Hyperlink"/>
                <w:rFonts w:ascii="Times New Roman" w:eastAsia="Times New Roman" w:hAnsi="Times New Roman" w:cs="Times New Roman"/>
                <w:noProof/>
                <w:sz w:val="24"/>
                <w:szCs w:val="24"/>
              </w:rPr>
              <w:t>5.5.3 Reconceptualizing Metacognition as an Affective and Identity-Based Process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_Toc235800222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w:t>
            </w:r>
            <w:r w:rsidRPr="006948C8">
              <w:rPr>
                <w:rFonts w:ascii="Times New Roman" w:hAnsi="Times New Roman" w:cs="Times New Roman"/>
                <w:noProof/>
                <w:webHidden/>
                <w:sz w:val="24"/>
                <w:szCs w:val="24"/>
              </w:rPr>
              <w:fldChar w:fldCharType="end"/>
            </w:r>
          </w:hyperlink>
        </w:p>
        <w:p w14:paraId="2AFB7DD9" w14:textId="726BE6D8"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23" w:history="1">
            <w:r w:rsidRPr="006948C8">
              <w:rPr>
                <w:rStyle w:val="Hyperlink"/>
                <w:rFonts w:ascii="Times New Roman" w:eastAsia="Times New Roman" w:hAnsi="Times New Roman" w:cs="Times New Roman"/>
                <w:noProof/>
                <w:sz w:val="24"/>
                <w:szCs w:val="24"/>
              </w:rPr>
              <w:t>5.5.4 Advancing Culturally Responsive Understandings of Metacognition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_Toc235800223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65</w:t>
            </w:r>
            <w:r w:rsidRPr="006948C8">
              <w:rPr>
                <w:rFonts w:ascii="Times New Roman" w:hAnsi="Times New Roman" w:cs="Times New Roman"/>
                <w:noProof/>
                <w:webHidden/>
                <w:sz w:val="24"/>
                <w:szCs w:val="24"/>
              </w:rPr>
              <w:fldChar w:fldCharType="end"/>
            </w:r>
          </w:hyperlink>
        </w:p>
        <w:p w14:paraId="0D17CA86" w14:textId="511E0897"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24" w:history="1">
            <w:r w:rsidRPr="006948C8">
              <w:rPr>
                <w:rStyle w:val="Hyperlink"/>
                <w:rFonts w:ascii="Times New Roman" w:eastAsia="Times New Roman" w:hAnsi="Times New Roman" w:cs="Times New Roman"/>
                <w:noProof/>
                <w:sz w:val="24"/>
                <w:szCs w:val="24"/>
              </w:rPr>
              <w:t>5.6 Implications for the Study Site and Multicultural Higher Education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_Toc235800224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w:t>
            </w:r>
            <w:r w:rsidRPr="006948C8">
              <w:rPr>
                <w:rFonts w:ascii="Times New Roman" w:hAnsi="Times New Roman" w:cs="Times New Roman"/>
                <w:noProof/>
                <w:webHidden/>
                <w:sz w:val="24"/>
                <w:szCs w:val="24"/>
              </w:rPr>
              <w:fldChar w:fldCharType="end"/>
            </w:r>
          </w:hyperlink>
        </w:p>
        <w:p w14:paraId="64C11E3D" w14:textId="1285D71A"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25" w:history="1">
            <w:r w:rsidRPr="006948C8">
              <w:rPr>
                <w:rStyle w:val="Hyperlink"/>
                <w:rFonts w:ascii="Times New Roman" w:eastAsia="Times New Roman" w:hAnsi="Times New Roman" w:cs="Times New Roman"/>
                <w:noProof/>
                <w:sz w:val="24"/>
                <w:szCs w:val="24"/>
              </w:rPr>
              <w:t>5.6.1 Implications for Academic Support and Student Transition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_Toc235800225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w:t>
            </w:r>
            <w:r w:rsidRPr="006948C8">
              <w:rPr>
                <w:rFonts w:ascii="Times New Roman" w:hAnsi="Times New Roman" w:cs="Times New Roman"/>
                <w:noProof/>
                <w:webHidden/>
                <w:sz w:val="24"/>
                <w:szCs w:val="24"/>
              </w:rPr>
              <w:fldChar w:fldCharType="end"/>
            </w:r>
          </w:hyperlink>
        </w:p>
        <w:p w14:paraId="5FB206C4" w14:textId="2CC8BD30"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26" w:history="1">
            <w:r w:rsidRPr="006948C8">
              <w:rPr>
                <w:rStyle w:val="Hyperlink"/>
                <w:rFonts w:ascii="Times New Roman" w:eastAsia="Times New Roman" w:hAnsi="Times New Roman" w:cs="Times New Roman"/>
                <w:noProof/>
                <w:sz w:val="24"/>
                <w:szCs w:val="24"/>
              </w:rPr>
              <w:t>5.6.2 Implications for Language Support in Multicultural Classrooms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_Toc235800226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67</w:t>
            </w:r>
            <w:r w:rsidRPr="006948C8">
              <w:rPr>
                <w:rFonts w:ascii="Times New Roman" w:hAnsi="Times New Roman" w:cs="Times New Roman"/>
                <w:noProof/>
                <w:webHidden/>
                <w:sz w:val="24"/>
                <w:szCs w:val="24"/>
              </w:rPr>
              <w:fldChar w:fldCharType="end"/>
            </w:r>
          </w:hyperlink>
        </w:p>
        <w:p w14:paraId="4BBA69AA" w14:textId="4B6336C0"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27" w:history="1">
            <w:r w:rsidRPr="006948C8">
              <w:rPr>
                <w:rStyle w:val="Hyperlink"/>
                <w:rFonts w:ascii="Times New Roman" w:eastAsia="Times New Roman" w:hAnsi="Times New Roman" w:cs="Times New Roman"/>
                <w:noProof/>
                <w:sz w:val="24"/>
                <w:szCs w:val="24"/>
              </w:rPr>
              <w:t>5.6.3 Implications for the Integration of Artificial Intelligence in Higher Education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_Toc235800227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Pr="006948C8">
              <w:rPr>
                <w:rFonts w:ascii="Times New Roman" w:hAnsi="Times New Roman" w:cs="Times New Roman"/>
                <w:noProof/>
                <w:webHidden/>
                <w:sz w:val="24"/>
                <w:szCs w:val="24"/>
              </w:rPr>
              <w:fldChar w:fldCharType="end"/>
            </w:r>
          </w:hyperlink>
        </w:p>
        <w:p w14:paraId="49747E24" w14:textId="5F15CD3E"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28" w:history="1">
            <w:r w:rsidRPr="006948C8">
              <w:rPr>
                <w:rStyle w:val="Hyperlink"/>
                <w:rFonts w:ascii="Times New Roman" w:eastAsia="Times New Roman" w:hAnsi="Times New Roman" w:cs="Times New Roman"/>
                <w:noProof/>
                <w:sz w:val="24"/>
                <w:szCs w:val="24"/>
              </w:rPr>
              <w:t>5.6.4 Implications for Collaborative and Multicultural Learning Environments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_Toc235800228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Pr="006948C8">
              <w:rPr>
                <w:rFonts w:ascii="Times New Roman" w:hAnsi="Times New Roman" w:cs="Times New Roman"/>
                <w:noProof/>
                <w:webHidden/>
                <w:sz w:val="24"/>
                <w:szCs w:val="24"/>
              </w:rPr>
              <w:fldChar w:fldCharType="end"/>
            </w:r>
          </w:hyperlink>
        </w:p>
        <w:p w14:paraId="15180DB0" w14:textId="73027BC4"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29" w:history="1">
            <w:r w:rsidRPr="006948C8">
              <w:rPr>
                <w:rStyle w:val="Hyperlink"/>
                <w:rFonts w:ascii="Times New Roman" w:eastAsia="Times New Roman" w:hAnsi="Times New Roman" w:cs="Times New Roman"/>
                <w:noProof/>
                <w:sz w:val="24"/>
                <w:szCs w:val="24"/>
              </w:rPr>
              <w:t>5.6.5 Implications for Student Wellbeing and Holistic Learning Support</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_Toc235800229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Pr="006948C8">
              <w:rPr>
                <w:rFonts w:ascii="Times New Roman" w:hAnsi="Times New Roman" w:cs="Times New Roman"/>
                <w:noProof/>
                <w:webHidden/>
                <w:sz w:val="24"/>
                <w:szCs w:val="24"/>
              </w:rPr>
              <w:fldChar w:fldCharType="end"/>
            </w:r>
          </w:hyperlink>
        </w:p>
        <w:p w14:paraId="56D1CDE9" w14:textId="2B900FC4"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30" w:history="1">
            <w:r w:rsidRPr="006948C8">
              <w:rPr>
                <w:rStyle w:val="Hyperlink"/>
                <w:rFonts w:ascii="Times New Roman" w:eastAsia="Times New Roman" w:hAnsi="Times New Roman" w:cs="Times New Roman"/>
                <w:noProof/>
                <w:sz w:val="24"/>
                <w:szCs w:val="24"/>
              </w:rPr>
              <w:t>5.6.6 Implications for Culturally Responsive Graduate Education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_Toc235800230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Pr="006948C8">
              <w:rPr>
                <w:rFonts w:ascii="Times New Roman" w:hAnsi="Times New Roman" w:cs="Times New Roman"/>
                <w:noProof/>
                <w:webHidden/>
                <w:sz w:val="24"/>
                <w:szCs w:val="24"/>
              </w:rPr>
              <w:fldChar w:fldCharType="end"/>
            </w:r>
          </w:hyperlink>
        </w:p>
        <w:p w14:paraId="49D54D98" w14:textId="7D381D1B"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31" w:history="1">
            <w:r w:rsidRPr="006948C8">
              <w:rPr>
                <w:rStyle w:val="Hyperlink"/>
                <w:rFonts w:ascii="Times New Roman" w:eastAsia="Times New Roman" w:hAnsi="Times New Roman" w:cs="Times New Roman"/>
                <w:noProof/>
                <w:sz w:val="24"/>
                <w:szCs w:val="24"/>
              </w:rPr>
              <w:t>5.7 Limitations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_Toc235800231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w:t>
            </w:r>
            <w:r w:rsidRPr="006948C8">
              <w:rPr>
                <w:rFonts w:ascii="Times New Roman" w:hAnsi="Times New Roman" w:cs="Times New Roman"/>
                <w:noProof/>
                <w:webHidden/>
                <w:sz w:val="24"/>
                <w:szCs w:val="24"/>
              </w:rPr>
              <w:fldChar w:fldCharType="end"/>
            </w:r>
          </w:hyperlink>
        </w:p>
        <w:p w14:paraId="170E93EB" w14:textId="58845103"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32" w:history="1">
            <w:r w:rsidRPr="006948C8">
              <w:rPr>
                <w:rStyle w:val="Hyperlink"/>
                <w:rFonts w:ascii="Times New Roman" w:eastAsia="Times New Roman" w:hAnsi="Times New Roman" w:cs="Times New Roman"/>
                <w:noProof/>
                <w:sz w:val="24"/>
                <w:szCs w:val="24"/>
              </w:rPr>
              <w:t>5.7.1 Single Case Study Design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_Toc235800232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w:t>
            </w:r>
            <w:r w:rsidRPr="006948C8">
              <w:rPr>
                <w:rFonts w:ascii="Times New Roman" w:hAnsi="Times New Roman" w:cs="Times New Roman"/>
                <w:noProof/>
                <w:webHidden/>
                <w:sz w:val="24"/>
                <w:szCs w:val="24"/>
              </w:rPr>
              <w:fldChar w:fldCharType="end"/>
            </w:r>
          </w:hyperlink>
        </w:p>
        <w:p w14:paraId="254D4DBA" w14:textId="08EC1AE4"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33" w:history="1">
            <w:r w:rsidRPr="006948C8">
              <w:rPr>
                <w:rStyle w:val="Hyperlink"/>
                <w:rFonts w:ascii="Times New Roman" w:eastAsia="Times New Roman" w:hAnsi="Times New Roman" w:cs="Times New Roman"/>
                <w:noProof/>
                <w:sz w:val="24"/>
                <w:szCs w:val="24"/>
              </w:rPr>
              <w:t>5.7.2 Focus on a Single Academic Program</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_Toc235800233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w:t>
            </w:r>
            <w:r w:rsidRPr="006948C8">
              <w:rPr>
                <w:rFonts w:ascii="Times New Roman" w:hAnsi="Times New Roman" w:cs="Times New Roman"/>
                <w:noProof/>
                <w:webHidden/>
                <w:sz w:val="24"/>
                <w:szCs w:val="24"/>
              </w:rPr>
              <w:fldChar w:fldCharType="end"/>
            </w:r>
          </w:hyperlink>
        </w:p>
        <w:p w14:paraId="21ABAA9E" w14:textId="2996B020"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34" w:history="1">
            <w:r w:rsidRPr="006948C8">
              <w:rPr>
                <w:rStyle w:val="Hyperlink"/>
                <w:rFonts w:ascii="Times New Roman" w:eastAsia="Times New Roman" w:hAnsi="Times New Roman" w:cs="Times New Roman"/>
                <w:noProof/>
                <w:sz w:val="24"/>
                <w:szCs w:val="24"/>
              </w:rPr>
              <w:t>5.7.3 Only Women Participants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_Toc235800234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sidRPr="006948C8">
              <w:rPr>
                <w:rFonts w:ascii="Times New Roman" w:hAnsi="Times New Roman" w:cs="Times New Roman"/>
                <w:noProof/>
                <w:webHidden/>
                <w:sz w:val="24"/>
                <w:szCs w:val="24"/>
              </w:rPr>
              <w:fldChar w:fldCharType="end"/>
            </w:r>
          </w:hyperlink>
        </w:p>
        <w:p w14:paraId="51BD4544" w14:textId="455FD240"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35" w:history="1">
            <w:r w:rsidRPr="006948C8">
              <w:rPr>
                <w:rStyle w:val="Hyperlink"/>
                <w:rFonts w:ascii="Times New Roman" w:eastAsia="Times New Roman" w:hAnsi="Times New Roman" w:cs="Times New Roman"/>
                <w:noProof/>
                <w:sz w:val="24"/>
                <w:szCs w:val="24"/>
              </w:rPr>
              <w:t>5.7.4 Reliance on Self-Reported Metacognitive Practices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_Toc235800235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sidRPr="006948C8">
              <w:rPr>
                <w:rFonts w:ascii="Times New Roman" w:hAnsi="Times New Roman" w:cs="Times New Roman"/>
                <w:noProof/>
                <w:webHidden/>
                <w:sz w:val="24"/>
                <w:szCs w:val="24"/>
              </w:rPr>
              <w:fldChar w:fldCharType="end"/>
            </w:r>
          </w:hyperlink>
        </w:p>
        <w:p w14:paraId="651721AF" w14:textId="28DC0EB4"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36" w:history="1">
            <w:r w:rsidRPr="006948C8">
              <w:rPr>
                <w:rStyle w:val="Hyperlink"/>
                <w:rFonts w:ascii="Times New Roman" w:eastAsia="Times New Roman" w:hAnsi="Times New Roman" w:cs="Times New Roman"/>
                <w:noProof/>
                <w:sz w:val="24"/>
                <w:szCs w:val="24"/>
              </w:rPr>
              <w:t>5.7.5 Cross-Sectional Rather Than Longitudinal Design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_Toc235800236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w:t>
            </w:r>
            <w:r w:rsidRPr="006948C8">
              <w:rPr>
                <w:rFonts w:ascii="Times New Roman" w:hAnsi="Times New Roman" w:cs="Times New Roman"/>
                <w:noProof/>
                <w:webHidden/>
                <w:sz w:val="24"/>
                <w:szCs w:val="24"/>
              </w:rPr>
              <w:fldChar w:fldCharType="end"/>
            </w:r>
          </w:hyperlink>
        </w:p>
        <w:p w14:paraId="43742A90" w14:textId="5ED9CFA8"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37" w:history="1">
            <w:r w:rsidRPr="006948C8">
              <w:rPr>
                <w:rStyle w:val="Hyperlink"/>
                <w:rFonts w:ascii="Times New Roman" w:eastAsia="Times New Roman" w:hAnsi="Times New Roman" w:cs="Times New Roman"/>
                <w:noProof/>
                <w:sz w:val="24"/>
                <w:szCs w:val="24"/>
              </w:rPr>
              <w:t>5.8 Recommendations for Future Research</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_Toc235800237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w:t>
            </w:r>
            <w:r w:rsidRPr="006948C8">
              <w:rPr>
                <w:rFonts w:ascii="Times New Roman" w:hAnsi="Times New Roman" w:cs="Times New Roman"/>
                <w:noProof/>
                <w:webHidden/>
                <w:sz w:val="24"/>
                <w:szCs w:val="24"/>
              </w:rPr>
              <w:fldChar w:fldCharType="end"/>
            </w:r>
          </w:hyperlink>
        </w:p>
        <w:p w14:paraId="5A91B70B" w14:textId="56511F51"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38" w:history="1">
            <w:r w:rsidRPr="006948C8">
              <w:rPr>
                <w:rStyle w:val="Hyperlink"/>
                <w:rFonts w:ascii="Times New Roman" w:eastAsia="Times New Roman" w:hAnsi="Times New Roman" w:cs="Times New Roman"/>
                <w:noProof/>
                <w:sz w:val="24"/>
                <w:szCs w:val="24"/>
              </w:rPr>
              <w:t>5.8.1 Exploring the Relationship Between Artificial Intelligence and Metacognitive Development</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_Toc235800238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74</w:t>
            </w:r>
            <w:r w:rsidRPr="006948C8">
              <w:rPr>
                <w:rFonts w:ascii="Times New Roman" w:hAnsi="Times New Roman" w:cs="Times New Roman"/>
                <w:noProof/>
                <w:webHidden/>
                <w:sz w:val="24"/>
                <w:szCs w:val="24"/>
              </w:rPr>
              <w:fldChar w:fldCharType="end"/>
            </w:r>
          </w:hyperlink>
        </w:p>
        <w:p w14:paraId="23280DF2" w14:textId="778611BF"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39" w:history="1">
            <w:r w:rsidRPr="006948C8">
              <w:rPr>
                <w:rStyle w:val="Hyperlink"/>
                <w:rFonts w:ascii="Times New Roman" w:eastAsia="Times New Roman" w:hAnsi="Times New Roman" w:cs="Times New Roman"/>
                <w:noProof/>
                <w:sz w:val="24"/>
                <w:szCs w:val="24"/>
              </w:rPr>
              <w:t>5.8.2 Investigating the Metacognitive Experiences of Refugee and Displaced Students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_Toc235800239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75</w:t>
            </w:r>
            <w:r w:rsidRPr="006948C8">
              <w:rPr>
                <w:rFonts w:ascii="Times New Roman" w:hAnsi="Times New Roman" w:cs="Times New Roman"/>
                <w:noProof/>
                <w:webHidden/>
                <w:sz w:val="24"/>
                <w:szCs w:val="24"/>
              </w:rPr>
              <w:fldChar w:fldCharType="end"/>
            </w:r>
          </w:hyperlink>
        </w:p>
        <w:p w14:paraId="52ABB46F" w14:textId="265C74C9"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40" w:history="1">
            <w:r w:rsidRPr="006948C8">
              <w:rPr>
                <w:rStyle w:val="Hyperlink"/>
                <w:rFonts w:ascii="Times New Roman" w:eastAsia="Times New Roman" w:hAnsi="Times New Roman" w:cs="Times New Roman"/>
                <w:noProof/>
                <w:sz w:val="24"/>
                <w:szCs w:val="24"/>
              </w:rPr>
              <w:t>5.8.3 Longitudinal Studies of Learner Identity Transformation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_Toc235800240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75</w:t>
            </w:r>
            <w:r w:rsidRPr="006948C8">
              <w:rPr>
                <w:rFonts w:ascii="Times New Roman" w:hAnsi="Times New Roman" w:cs="Times New Roman"/>
                <w:noProof/>
                <w:webHidden/>
                <w:sz w:val="24"/>
                <w:szCs w:val="24"/>
              </w:rPr>
              <w:fldChar w:fldCharType="end"/>
            </w:r>
          </w:hyperlink>
        </w:p>
        <w:p w14:paraId="2035F705" w14:textId="42A7A5B4"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41" w:history="1">
            <w:r w:rsidRPr="006948C8">
              <w:rPr>
                <w:rStyle w:val="Hyperlink"/>
                <w:rFonts w:ascii="Times New Roman" w:eastAsia="Times New Roman" w:hAnsi="Times New Roman" w:cs="Times New Roman"/>
                <w:noProof/>
                <w:sz w:val="24"/>
                <w:szCs w:val="24"/>
              </w:rPr>
              <w:t>5.8.4 Comparative Studies Across Graduate Programs and Institutional Contexts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_Toc235800241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76</w:t>
            </w:r>
            <w:r w:rsidRPr="006948C8">
              <w:rPr>
                <w:rFonts w:ascii="Times New Roman" w:hAnsi="Times New Roman" w:cs="Times New Roman"/>
                <w:noProof/>
                <w:webHidden/>
                <w:sz w:val="24"/>
                <w:szCs w:val="24"/>
              </w:rPr>
              <w:fldChar w:fldCharType="end"/>
            </w:r>
          </w:hyperlink>
        </w:p>
        <w:p w14:paraId="5152357C" w14:textId="17062079"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42" w:history="1">
            <w:r w:rsidRPr="006948C8">
              <w:rPr>
                <w:rStyle w:val="Hyperlink"/>
                <w:rFonts w:ascii="Times New Roman" w:eastAsia="Times New Roman" w:hAnsi="Times New Roman" w:cs="Times New Roman"/>
                <w:noProof/>
                <w:sz w:val="24"/>
                <w:szCs w:val="24"/>
              </w:rPr>
              <w:t>6. Conclusion</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_Toc235800242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w:t>
            </w:r>
            <w:r w:rsidRPr="006948C8">
              <w:rPr>
                <w:rFonts w:ascii="Times New Roman" w:hAnsi="Times New Roman" w:cs="Times New Roman"/>
                <w:noProof/>
                <w:webHidden/>
                <w:sz w:val="24"/>
                <w:szCs w:val="24"/>
              </w:rPr>
              <w:fldChar w:fldCharType="end"/>
            </w:r>
          </w:hyperlink>
        </w:p>
        <w:p w14:paraId="59DAB880" w14:textId="011C037C"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43" w:history="1">
            <w:r w:rsidRPr="006948C8">
              <w:rPr>
                <w:rStyle w:val="Hyperlink"/>
                <w:rFonts w:ascii="Times New Roman" w:eastAsia="Times New Roman" w:hAnsi="Times New Roman" w:cs="Times New Roman"/>
                <w:noProof/>
                <w:sz w:val="24"/>
                <w:szCs w:val="24"/>
              </w:rPr>
              <w:t>References</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_Toc235800243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83</w:t>
            </w:r>
            <w:r w:rsidRPr="006948C8">
              <w:rPr>
                <w:rFonts w:ascii="Times New Roman" w:hAnsi="Times New Roman" w:cs="Times New Roman"/>
                <w:noProof/>
                <w:webHidden/>
                <w:sz w:val="24"/>
                <w:szCs w:val="24"/>
              </w:rPr>
              <w:fldChar w:fldCharType="end"/>
            </w:r>
          </w:hyperlink>
        </w:p>
        <w:p w14:paraId="36E4FA44" w14:textId="6480280F"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44" w:history="1">
            <w:r w:rsidRPr="006948C8">
              <w:rPr>
                <w:rStyle w:val="Hyperlink"/>
                <w:rFonts w:ascii="Times New Roman" w:eastAsia="Times New Roman" w:hAnsi="Times New Roman" w:cs="Times New Roman"/>
                <w:noProof/>
                <w:sz w:val="24"/>
                <w:szCs w:val="24"/>
              </w:rPr>
              <w:t>Appendix A</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_Toc235800244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91</w:t>
            </w:r>
            <w:r w:rsidRPr="006948C8">
              <w:rPr>
                <w:rFonts w:ascii="Times New Roman" w:hAnsi="Times New Roman" w:cs="Times New Roman"/>
                <w:noProof/>
                <w:webHidden/>
                <w:sz w:val="24"/>
                <w:szCs w:val="24"/>
              </w:rPr>
              <w:fldChar w:fldCharType="end"/>
            </w:r>
          </w:hyperlink>
        </w:p>
        <w:p w14:paraId="0961CE89" w14:textId="0CAC276F"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45" w:history="1">
            <w:r w:rsidRPr="006948C8">
              <w:rPr>
                <w:rStyle w:val="Hyperlink"/>
                <w:rFonts w:ascii="Times New Roman" w:eastAsia="Times New Roman" w:hAnsi="Times New Roman" w:cs="Times New Roman"/>
                <w:noProof/>
                <w:sz w:val="24"/>
                <w:szCs w:val="24"/>
              </w:rPr>
              <w:t>Table A1</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_Toc235800245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91</w:t>
            </w:r>
            <w:r w:rsidRPr="006948C8">
              <w:rPr>
                <w:rFonts w:ascii="Times New Roman" w:hAnsi="Times New Roman" w:cs="Times New Roman"/>
                <w:noProof/>
                <w:webHidden/>
                <w:sz w:val="24"/>
                <w:szCs w:val="24"/>
              </w:rPr>
              <w:fldChar w:fldCharType="end"/>
            </w:r>
          </w:hyperlink>
        </w:p>
        <w:p w14:paraId="083D0A5B" w14:textId="7638B531"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46" w:history="1">
            <w:r w:rsidRPr="006948C8">
              <w:rPr>
                <w:rStyle w:val="Hyperlink"/>
                <w:rFonts w:ascii="Times New Roman" w:eastAsia="Times New Roman" w:hAnsi="Times New Roman" w:cs="Times New Roman"/>
                <w:noProof/>
                <w:sz w:val="24"/>
                <w:szCs w:val="24"/>
              </w:rPr>
              <w:t>Table A2</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_Toc235800246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92</w:t>
            </w:r>
            <w:r w:rsidRPr="006948C8">
              <w:rPr>
                <w:rFonts w:ascii="Times New Roman" w:hAnsi="Times New Roman" w:cs="Times New Roman"/>
                <w:noProof/>
                <w:webHidden/>
                <w:sz w:val="24"/>
                <w:szCs w:val="24"/>
              </w:rPr>
              <w:fldChar w:fldCharType="end"/>
            </w:r>
          </w:hyperlink>
        </w:p>
        <w:p w14:paraId="28C2FB75" w14:textId="2F46A887"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47" w:history="1">
            <w:r w:rsidRPr="006948C8">
              <w:rPr>
                <w:rStyle w:val="Hyperlink"/>
                <w:rFonts w:ascii="Times New Roman" w:eastAsia="Times New Roman" w:hAnsi="Times New Roman" w:cs="Times New Roman"/>
                <w:noProof/>
                <w:sz w:val="24"/>
                <w:szCs w:val="24"/>
              </w:rPr>
              <w:t>Table A3</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_Toc235800247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93</w:t>
            </w:r>
            <w:r w:rsidRPr="006948C8">
              <w:rPr>
                <w:rFonts w:ascii="Times New Roman" w:hAnsi="Times New Roman" w:cs="Times New Roman"/>
                <w:noProof/>
                <w:webHidden/>
                <w:sz w:val="24"/>
                <w:szCs w:val="24"/>
              </w:rPr>
              <w:fldChar w:fldCharType="end"/>
            </w:r>
          </w:hyperlink>
        </w:p>
        <w:p w14:paraId="5B358C65" w14:textId="7F5C5F64"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48" w:history="1">
            <w:r w:rsidRPr="006948C8">
              <w:rPr>
                <w:rStyle w:val="Hyperlink"/>
                <w:rFonts w:ascii="Times New Roman" w:eastAsia="Times New Roman" w:hAnsi="Times New Roman" w:cs="Times New Roman"/>
                <w:noProof/>
                <w:sz w:val="24"/>
                <w:szCs w:val="24"/>
              </w:rPr>
              <w:t>Appendix B</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_Toc235800248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94</w:t>
            </w:r>
            <w:r w:rsidRPr="006948C8">
              <w:rPr>
                <w:rFonts w:ascii="Times New Roman" w:hAnsi="Times New Roman" w:cs="Times New Roman"/>
                <w:noProof/>
                <w:webHidden/>
                <w:sz w:val="24"/>
                <w:szCs w:val="24"/>
              </w:rPr>
              <w:fldChar w:fldCharType="end"/>
            </w:r>
          </w:hyperlink>
        </w:p>
        <w:p w14:paraId="3057F72D" w14:textId="2E57966A"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49" w:history="1">
            <w:r w:rsidRPr="006948C8">
              <w:rPr>
                <w:rStyle w:val="Hyperlink"/>
                <w:rFonts w:ascii="Times New Roman" w:eastAsia="Times New Roman" w:hAnsi="Times New Roman" w:cs="Times New Roman"/>
                <w:noProof/>
                <w:sz w:val="24"/>
                <w:szCs w:val="24"/>
              </w:rPr>
              <w:t>Table B1</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_Toc235800249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94</w:t>
            </w:r>
            <w:r w:rsidRPr="006948C8">
              <w:rPr>
                <w:rFonts w:ascii="Times New Roman" w:hAnsi="Times New Roman" w:cs="Times New Roman"/>
                <w:noProof/>
                <w:webHidden/>
                <w:sz w:val="24"/>
                <w:szCs w:val="24"/>
              </w:rPr>
              <w:fldChar w:fldCharType="end"/>
            </w:r>
          </w:hyperlink>
        </w:p>
        <w:p w14:paraId="39B2562F" w14:textId="2B6BC2BE" w:rsidR="006948C8" w:rsidRPr="006948C8" w:rsidRDefault="006948C8" w:rsidP="006948C8">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50" w:history="1">
            <w:r w:rsidRPr="006948C8">
              <w:rPr>
                <w:rStyle w:val="Hyperlink"/>
                <w:rFonts w:ascii="Times New Roman" w:eastAsia="Times New Roman" w:hAnsi="Times New Roman" w:cs="Times New Roman"/>
                <w:noProof/>
                <w:sz w:val="24"/>
                <w:szCs w:val="24"/>
              </w:rPr>
              <w:t>Table B2</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_Toc235800250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95</w:t>
            </w:r>
            <w:r w:rsidRPr="006948C8">
              <w:rPr>
                <w:rFonts w:ascii="Times New Roman" w:hAnsi="Times New Roman" w:cs="Times New Roman"/>
                <w:noProof/>
                <w:webHidden/>
                <w:sz w:val="24"/>
                <w:szCs w:val="24"/>
              </w:rPr>
              <w:fldChar w:fldCharType="end"/>
            </w:r>
          </w:hyperlink>
        </w:p>
        <w:p w14:paraId="09A124F1" w14:textId="7E351756"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51" w:history="1">
            <w:r w:rsidRPr="006948C8">
              <w:rPr>
                <w:rStyle w:val="Hyperlink"/>
                <w:rFonts w:ascii="Times New Roman" w:eastAsia="Times New Roman" w:hAnsi="Times New Roman" w:cs="Times New Roman"/>
                <w:noProof/>
                <w:sz w:val="24"/>
                <w:szCs w:val="24"/>
              </w:rPr>
              <w:t>Appendix C</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_Toc235800251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97</w:t>
            </w:r>
            <w:r w:rsidRPr="006948C8">
              <w:rPr>
                <w:rFonts w:ascii="Times New Roman" w:hAnsi="Times New Roman" w:cs="Times New Roman"/>
                <w:noProof/>
                <w:webHidden/>
                <w:sz w:val="24"/>
                <w:szCs w:val="24"/>
              </w:rPr>
              <w:fldChar w:fldCharType="end"/>
            </w:r>
          </w:hyperlink>
        </w:p>
        <w:p w14:paraId="0612D931" w14:textId="3AAB5226"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52" w:history="1">
            <w:r w:rsidRPr="006948C8">
              <w:rPr>
                <w:rStyle w:val="Hyperlink"/>
                <w:rFonts w:ascii="Times New Roman" w:eastAsia="Times New Roman" w:hAnsi="Times New Roman" w:cs="Times New Roman"/>
                <w:noProof/>
                <w:sz w:val="24"/>
                <w:szCs w:val="24"/>
              </w:rPr>
              <w:t>Appendix D</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_Toc235800252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98</w:t>
            </w:r>
            <w:r w:rsidRPr="006948C8">
              <w:rPr>
                <w:rFonts w:ascii="Times New Roman" w:hAnsi="Times New Roman" w:cs="Times New Roman"/>
                <w:noProof/>
                <w:webHidden/>
                <w:sz w:val="24"/>
                <w:szCs w:val="24"/>
              </w:rPr>
              <w:fldChar w:fldCharType="end"/>
            </w:r>
          </w:hyperlink>
        </w:p>
        <w:p w14:paraId="1C22E3A7" w14:textId="6AF353B9"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53" w:history="1">
            <w:r w:rsidRPr="006948C8">
              <w:rPr>
                <w:rStyle w:val="Hyperlink"/>
                <w:rFonts w:ascii="Times New Roman" w:eastAsia="Times New Roman" w:hAnsi="Times New Roman" w:cs="Times New Roman"/>
                <w:noProof/>
                <w:sz w:val="24"/>
                <w:szCs w:val="24"/>
              </w:rPr>
              <w:t>Appendix E</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_Toc235800253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99</w:t>
            </w:r>
            <w:r w:rsidRPr="006948C8">
              <w:rPr>
                <w:rFonts w:ascii="Times New Roman" w:hAnsi="Times New Roman" w:cs="Times New Roman"/>
                <w:noProof/>
                <w:webHidden/>
                <w:sz w:val="24"/>
                <w:szCs w:val="24"/>
              </w:rPr>
              <w:fldChar w:fldCharType="end"/>
            </w:r>
          </w:hyperlink>
        </w:p>
        <w:p w14:paraId="01842FA6" w14:textId="0E1894D3" w:rsidR="006948C8" w:rsidRPr="006948C8" w:rsidRDefault="006948C8" w:rsidP="006948C8">
          <w:pPr>
            <w:pStyle w:val="TOC1"/>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54" w:history="1">
            <w:r w:rsidRPr="006948C8">
              <w:rPr>
                <w:rStyle w:val="Hyperlink"/>
                <w:rFonts w:ascii="Times New Roman" w:hAnsi="Times New Roman" w:cs="Times New Roman"/>
                <w:noProof/>
                <w:sz w:val="24"/>
                <w:szCs w:val="24"/>
              </w:rPr>
              <w:t>Appendix F</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_Toc235800254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100</w:t>
            </w:r>
            <w:r w:rsidRPr="006948C8">
              <w:rPr>
                <w:rFonts w:ascii="Times New Roman" w:hAnsi="Times New Roman" w:cs="Times New Roman"/>
                <w:noProof/>
                <w:webHidden/>
                <w:sz w:val="24"/>
                <w:szCs w:val="24"/>
              </w:rPr>
              <w:fldChar w:fldCharType="end"/>
            </w:r>
          </w:hyperlink>
        </w:p>
        <w:p w14:paraId="4724ACB3" w14:textId="3129DEB0"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55" w:history="1">
            <w:r w:rsidRPr="006948C8">
              <w:rPr>
                <w:rStyle w:val="Hyperlink"/>
                <w:rFonts w:ascii="Times New Roman" w:hAnsi="Times New Roman" w:cs="Times New Roman"/>
                <w:noProof/>
                <w:sz w:val="24"/>
                <w:szCs w:val="24"/>
              </w:rPr>
              <w:t>Figure F1</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_Toc235800255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100</w:t>
            </w:r>
            <w:r w:rsidRPr="006948C8">
              <w:rPr>
                <w:rFonts w:ascii="Times New Roman" w:hAnsi="Times New Roman" w:cs="Times New Roman"/>
                <w:noProof/>
                <w:webHidden/>
                <w:sz w:val="24"/>
                <w:szCs w:val="24"/>
              </w:rPr>
              <w:fldChar w:fldCharType="end"/>
            </w:r>
          </w:hyperlink>
        </w:p>
        <w:p w14:paraId="65022E1C" w14:textId="6CDFA6E8" w:rsidR="006948C8" w:rsidRPr="006948C8" w:rsidRDefault="006948C8" w:rsidP="006948C8">
          <w:pPr>
            <w:pStyle w:val="TOC2"/>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hyperlink w:anchor="_Toc235800256" w:history="1">
            <w:r w:rsidRPr="006948C8">
              <w:rPr>
                <w:rStyle w:val="Hyperlink"/>
                <w:rFonts w:ascii="Times New Roman" w:hAnsi="Times New Roman" w:cs="Times New Roman"/>
                <w:noProof/>
                <w:sz w:val="24"/>
                <w:szCs w:val="24"/>
              </w:rPr>
              <w:t>Figure F2</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_Toc235800256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101</w:t>
            </w:r>
            <w:r w:rsidRPr="006948C8">
              <w:rPr>
                <w:rFonts w:ascii="Times New Roman" w:hAnsi="Times New Roman" w:cs="Times New Roman"/>
                <w:noProof/>
                <w:webHidden/>
                <w:sz w:val="24"/>
                <w:szCs w:val="24"/>
              </w:rPr>
              <w:fldChar w:fldCharType="end"/>
            </w:r>
          </w:hyperlink>
        </w:p>
        <w:p w14:paraId="1FAFE0BC" w14:textId="02F8B08F" w:rsidR="006948C8" w:rsidRDefault="006948C8" w:rsidP="006948C8">
          <w:pPr>
            <w:pStyle w:val="TOC2"/>
            <w:tabs>
              <w:tab w:val="right" w:leader="dot" w:pos="9350"/>
            </w:tabs>
            <w:spacing w:line="480" w:lineRule="auto"/>
            <w:rPr>
              <w:rFonts w:asciiTheme="minorHAnsi" w:eastAsiaTheme="minorEastAsia" w:hAnsiTheme="minorHAnsi" w:cstheme="minorBidi"/>
              <w:noProof/>
              <w:kern w:val="2"/>
              <w:sz w:val="24"/>
              <w:szCs w:val="24"/>
              <w:lang w:val="en-US"/>
              <w14:ligatures w14:val="standardContextual"/>
            </w:rPr>
          </w:pPr>
          <w:hyperlink w:anchor="_Toc235800257" w:history="1">
            <w:r w:rsidRPr="006948C8">
              <w:rPr>
                <w:rStyle w:val="Hyperlink"/>
                <w:rFonts w:ascii="Times New Roman" w:hAnsi="Times New Roman" w:cs="Times New Roman"/>
                <w:noProof/>
                <w:sz w:val="24"/>
                <w:szCs w:val="24"/>
              </w:rPr>
              <w:t>Figure F3</w:t>
            </w:r>
            <w:r w:rsidRPr="006948C8">
              <w:rPr>
                <w:rFonts w:ascii="Times New Roman" w:hAnsi="Times New Roman" w:cs="Times New Roman"/>
                <w:noProof/>
                <w:webHidden/>
                <w:sz w:val="24"/>
                <w:szCs w:val="24"/>
              </w:rPr>
              <w:tab/>
            </w:r>
            <w:r w:rsidRPr="006948C8">
              <w:rPr>
                <w:rFonts w:ascii="Times New Roman" w:hAnsi="Times New Roman" w:cs="Times New Roman"/>
                <w:noProof/>
                <w:webHidden/>
                <w:sz w:val="24"/>
                <w:szCs w:val="24"/>
              </w:rPr>
              <w:fldChar w:fldCharType="begin"/>
            </w:r>
            <w:r w:rsidRPr="006948C8">
              <w:rPr>
                <w:rFonts w:ascii="Times New Roman" w:hAnsi="Times New Roman" w:cs="Times New Roman"/>
                <w:noProof/>
                <w:webHidden/>
                <w:sz w:val="24"/>
                <w:szCs w:val="24"/>
              </w:rPr>
              <w:instrText xml:space="preserve"> PAGEREF _Toc235800257 \h </w:instrText>
            </w:r>
            <w:r w:rsidRPr="006948C8">
              <w:rPr>
                <w:rFonts w:ascii="Times New Roman" w:hAnsi="Times New Roman" w:cs="Times New Roman"/>
                <w:noProof/>
                <w:webHidden/>
                <w:sz w:val="24"/>
                <w:szCs w:val="24"/>
              </w:rPr>
            </w:r>
            <w:r w:rsidRPr="006948C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102</w:t>
            </w:r>
            <w:r w:rsidRPr="006948C8">
              <w:rPr>
                <w:rFonts w:ascii="Times New Roman" w:hAnsi="Times New Roman" w:cs="Times New Roman"/>
                <w:noProof/>
                <w:webHidden/>
                <w:sz w:val="24"/>
                <w:szCs w:val="24"/>
              </w:rPr>
              <w:fldChar w:fldCharType="end"/>
            </w:r>
          </w:hyperlink>
        </w:p>
        <w:p w14:paraId="512602A2" w14:textId="394D49BD" w:rsidR="00761A24" w:rsidRPr="009B13F9" w:rsidRDefault="00761A24" w:rsidP="009B13F9">
          <w:pPr>
            <w:spacing w:line="480" w:lineRule="auto"/>
            <w:rPr>
              <w:rFonts w:ascii="Times New Roman" w:hAnsi="Times New Roman" w:cs="Times New Roman"/>
              <w:noProof/>
              <w:sz w:val="24"/>
              <w:szCs w:val="24"/>
            </w:rPr>
          </w:pPr>
          <w:r w:rsidRPr="009B13F9">
            <w:rPr>
              <w:rFonts w:ascii="Times New Roman" w:hAnsi="Times New Roman" w:cs="Times New Roman"/>
              <w:noProof/>
              <w:sz w:val="24"/>
              <w:szCs w:val="24"/>
            </w:rPr>
            <w:fldChar w:fldCharType="end"/>
          </w:r>
        </w:p>
      </w:sdtContent>
    </w:sdt>
    <w:p w14:paraId="67D905A8" w14:textId="09425791" w:rsidR="00761A24" w:rsidRPr="009B13F9" w:rsidRDefault="00761A24" w:rsidP="009B13F9">
      <w:pPr>
        <w:spacing w:line="480" w:lineRule="auto"/>
        <w:rPr>
          <w:rFonts w:ascii="Times New Roman" w:hAnsi="Times New Roman" w:cs="Times New Roman"/>
          <w:sz w:val="24"/>
          <w:szCs w:val="24"/>
        </w:rPr>
      </w:pPr>
      <w:r w:rsidRPr="009B13F9">
        <w:rPr>
          <w:rFonts w:ascii="Times New Roman" w:eastAsia="Times New Roman" w:hAnsi="Times New Roman" w:cs="Times New Roman"/>
          <w:sz w:val="24"/>
          <w:szCs w:val="24"/>
        </w:rPr>
        <w:br w:type="page"/>
      </w:r>
    </w:p>
    <w:p w14:paraId="5FE5383D" w14:textId="79CDD107" w:rsidR="003D5428" w:rsidRPr="009B13F9" w:rsidRDefault="001A737B" w:rsidP="009B13F9">
      <w:pPr>
        <w:pStyle w:val="Heading1"/>
        <w:tabs>
          <w:tab w:val="center" w:pos="4680"/>
          <w:tab w:val="left" w:pos="8130"/>
        </w:tabs>
        <w:spacing w:before="480" w:line="480" w:lineRule="auto"/>
        <w:jc w:val="center"/>
        <w:rPr>
          <w:rFonts w:ascii="Times New Roman" w:eastAsia="Times New Roman" w:hAnsi="Times New Roman" w:cs="Times New Roman"/>
          <w:b/>
          <w:bCs/>
          <w:sz w:val="24"/>
          <w:szCs w:val="24"/>
        </w:rPr>
      </w:pPr>
      <w:bookmarkStart w:id="1" w:name="_Toc235800162"/>
      <w:r w:rsidRPr="009B13F9">
        <w:rPr>
          <w:rFonts w:ascii="Times New Roman" w:eastAsia="Times New Roman" w:hAnsi="Times New Roman" w:cs="Times New Roman"/>
          <w:b/>
          <w:bCs/>
          <w:sz w:val="24"/>
          <w:szCs w:val="24"/>
        </w:rPr>
        <w:lastRenderedPageBreak/>
        <w:t>Abstract</w:t>
      </w:r>
      <w:bookmarkEnd w:id="1"/>
    </w:p>
    <w:p w14:paraId="5F92A5C9" w14:textId="77777777" w:rsidR="00881571" w:rsidRPr="009B13F9" w:rsidRDefault="00000000" w:rsidP="009B13F9">
      <w:pPr>
        <w:spacing w:before="48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aim of this qualitative case study was to examine the negotiation and transformation of metacognitive learning strategies of female postgraduate students from different countries, language and education backgrounds in a multicultural Master of Arts in Education program in an international liberal arts </w:t>
      </w:r>
      <w:r w:rsidR="002E018A" w:rsidRPr="009B13F9">
        <w:rPr>
          <w:rFonts w:ascii="Times New Roman" w:eastAsia="Times New Roman" w:hAnsi="Times New Roman" w:cs="Times New Roman"/>
          <w:sz w:val="24"/>
          <w:szCs w:val="24"/>
        </w:rPr>
        <w:t>university</w:t>
      </w:r>
      <w:r w:rsidRPr="009B13F9">
        <w:rPr>
          <w:rFonts w:ascii="Times New Roman" w:eastAsia="Times New Roman" w:hAnsi="Times New Roman" w:cs="Times New Roman"/>
          <w:sz w:val="24"/>
          <w:szCs w:val="24"/>
        </w:rPr>
        <w:t xml:space="preserve"> for women in Chattogram, Bangladesh. The study was based on an interpretivist paradigm and social constructivist lens to investigate how learners' planning, monitoring, and evaluating processes change as they move from teacher-centered and examination-oriented schooling traditions to a graduate pedagogy that focuses on discussion. Qualitative data were collected and manually reflexively themed from multi-cohort samples of individual semi-structured interviews </w:t>
      </w:r>
      <w:r w:rsidRPr="009B13F9">
        <w:rPr>
          <w:rFonts w:ascii="Times New Roman" w:eastAsia="Times New Roman" w:hAnsi="Times New Roman" w:cs="Times New Roman"/>
          <w:i/>
          <w:iCs/>
          <w:sz w:val="24"/>
          <w:szCs w:val="24"/>
        </w:rPr>
        <w:t>(N = 13)</w:t>
      </w:r>
      <w:r w:rsidRPr="009B13F9">
        <w:rPr>
          <w:rFonts w:ascii="Times New Roman" w:eastAsia="Times New Roman" w:hAnsi="Times New Roman" w:cs="Times New Roman"/>
          <w:sz w:val="24"/>
          <w:szCs w:val="24"/>
        </w:rPr>
        <w:t xml:space="preserve">, participant-driven photovoice submissions, and a focus group discussion. The results yielded three main themes: (1) Tactical Scaffolding and Environment Engineering in Response to Pedagogical Shock, in which participants materialized planning through physical workspaces and used generative artificial intelligence (AI) as a real-time cognitive and linguistic scaffold to address the text anxiety; (2) From Monolithic Truth to Epistemological Pluralism through Peer-Mediated Disagreement, in which sustained intercultural peer dialogue moved participants away from authority-dependent models towards contextual, pluralistic knowledge construction; and (3) Affective Self-Regulation and the Re-Anchoring of Education as a Civic Resilience Strategy, in which self-regulation extended beyond cognitive loops to include well-being practices, identity reconstruction, and a civic reorientation towards community empowerment. The study overall questions individualistic, purely cognitive Western models of metacognitive regulation by showing that metacognitive regulation in multicultural higher education is a socially distributed, culturally situated, affectively mediated and technologically supported practice. The findings have significant implications for the theoretical </w:t>
      </w:r>
      <w:r w:rsidRPr="009B13F9">
        <w:rPr>
          <w:rFonts w:ascii="Times New Roman" w:eastAsia="Times New Roman" w:hAnsi="Times New Roman" w:cs="Times New Roman"/>
          <w:sz w:val="24"/>
          <w:szCs w:val="24"/>
        </w:rPr>
        <w:lastRenderedPageBreak/>
        <w:t>and pedagogical aspects of supporting international students, the ethical use of AI, and culturally sustaining education in the Global South for the graduate level.</w:t>
      </w:r>
    </w:p>
    <w:p w14:paraId="048D5E7A" w14:textId="55A61579" w:rsidR="003D5428" w:rsidRPr="009B13F9" w:rsidRDefault="00000000" w:rsidP="009B13F9">
      <w:pPr>
        <w:spacing w:before="48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i/>
          <w:iCs/>
          <w:sz w:val="24"/>
          <w:szCs w:val="24"/>
        </w:rPr>
        <w:t>Keywords:</w:t>
      </w:r>
      <w:r w:rsidRPr="009B13F9">
        <w:rPr>
          <w:rFonts w:ascii="Times New Roman" w:eastAsia="Times New Roman" w:hAnsi="Times New Roman" w:cs="Times New Roman"/>
          <w:sz w:val="24"/>
          <w:szCs w:val="24"/>
        </w:rPr>
        <w:t xml:space="preserve"> metacognition, self-regulated learning, multicultural higher education, qualitative case study, generative artificial intelligence, culturally sustaining pedagogy, epistemological development, affective self-regulation.</w:t>
      </w:r>
      <w:r w:rsidRPr="009B13F9">
        <w:rPr>
          <w:rFonts w:ascii="Times New Roman" w:hAnsi="Times New Roman" w:cs="Times New Roman"/>
          <w:b/>
          <w:bCs/>
          <w:sz w:val="24"/>
          <w:szCs w:val="24"/>
        </w:rPr>
        <w:t xml:space="preserve"> </w:t>
      </w:r>
      <w:r w:rsidRPr="009B13F9">
        <w:rPr>
          <w:rFonts w:ascii="Times New Roman" w:hAnsi="Times New Roman" w:cs="Times New Roman"/>
          <w:sz w:val="24"/>
          <w:szCs w:val="24"/>
        </w:rPr>
        <w:br w:type="page"/>
      </w:r>
    </w:p>
    <w:p w14:paraId="3E6E1668" w14:textId="77777777" w:rsidR="003D5428" w:rsidRPr="009B13F9" w:rsidRDefault="00000000" w:rsidP="009B13F9">
      <w:pPr>
        <w:pStyle w:val="Heading1"/>
        <w:keepNext w:val="0"/>
        <w:keepLines w:val="0"/>
        <w:spacing w:before="480" w:line="480" w:lineRule="auto"/>
        <w:jc w:val="center"/>
        <w:rPr>
          <w:rFonts w:ascii="Times New Roman" w:eastAsia="Times New Roman" w:hAnsi="Times New Roman" w:cs="Times New Roman"/>
          <w:b/>
          <w:bCs/>
          <w:sz w:val="24"/>
          <w:szCs w:val="24"/>
        </w:rPr>
      </w:pPr>
      <w:bookmarkStart w:id="2" w:name="_hyl31pmdjcfv" w:colFirst="0" w:colLast="0"/>
      <w:bookmarkStart w:id="3" w:name="_Toc235800163"/>
      <w:bookmarkEnd w:id="2"/>
      <w:r w:rsidRPr="009B13F9">
        <w:rPr>
          <w:rFonts w:ascii="Times New Roman" w:eastAsia="Times New Roman" w:hAnsi="Times New Roman" w:cs="Times New Roman"/>
          <w:b/>
          <w:bCs/>
          <w:sz w:val="24"/>
          <w:szCs w:val="24"/>
        </w:rPr>
        <w:lastRenderedPageBreak/>
        <w:t>1.Introduction</w:t>
      </w:r>
      <w:bookmarkEnd w:id="3"/>
    </w:p>
    <w:p w14:paraId="205E7471"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4" w:name="_6zr8eloagxyf" w:colFirst="0" w:colLast="0"/>
      <w:bookmarkStart w:id="5" w:name="_Toc235800164"/>
      <w:bookmarkEnd w:id="4"/>
      <w:r w:rsidRPr="009B13F9">
        <w:rPr>
          <w:rFonts w:ascii="Times New Roman" w:eastAsia="Times New Roman" w:hAnsi="Times New Roman" w:cs="Times New Roman"/>
          <w:b/>
          <w:bCs/>
          <w:sz w:val="24"/>
          <w:szCs w:val="24"/>
        </w:rPr>
        <w:t>1.1 Background of the Study</w:t>
      </w:r>
      <w:bookmarkEnd w:id="5"/>
    </w:p>
    <w:p w14:paraId="62A5D2AA" w14:textId="79A7BB39"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Global student mobility and digital integration and international academic collaboration have transformed the landscape of higher education. Today's universities are more </w:t>
      </w:r>
      <w:r w:rsidR="002650B1">
        <w:rPr>
          <w:rFonts w:ascii="Times New Roman" w:eastAsia="Times New Roman" w:hAnsi="Times New Roman" w:cs="Times New Roman"/>
          <w:sz w:val="24"/>
          <w:szCs w:val="24"/>
        </w:rPr>
        <w:t>of</w:t>
      </w:r>
      <w:r w:rsidRPr="009B13F9">
        <w:rPr>
          <w:rFonts w:ascii="Times New Roman" w:eastAsia="Times New Roman" w:hAnsi="Times New Roman" w:cs="Times New Roman"/>
          <w:sz w:val="24"/>
          <w:szCs w:val="24"/>
        </w:rPr>
        <w:t xml:space="preserve"> a place where people from different national, linguistic and educational background systems come together. In the context of these multicultural spaces, graduate-level education requires intellectual independence, critical literacy and ongoing engagement with dense materials. These expectations are challenging for postgraduate students who have had their basic schooling based on teacher-</w:t>
      </w:r>
      <w:r w:rsidR="00FD1FDA" w:rsidRPr="009B13F9">
        <w:rPr>
          <w:rFonts w:ascii="Times New Roman" w:eastAsia="Times New Roman" w:hAnsi="Times New Roman" w:cs="Times New Roman"/>
          <w:sz w:val="24"/>
          <w:szCs w:val="24"/>
        </w:rPr>
        <w:t>centered</w:t>
      </w:r>
      <w:r w:rsidRPr="009B13F9">
        <w:rPr>
          <w:rFonts w:ascii="Times New Roman" w:eastAsia="Times New Roman" w:hAnsi="Times New Roman" w:cs="Times New Roman"/>
          <w:sz w:val="24"/>
          <w:szCs w:val="24"/>
        </w:rPr>
        <w:t xml:space="preserve"> traditions and passive rote </w:t>
      </w:r>
      <w:r w:rsidR="00FD1FDA" w:rsidRPr="009B13F9">
        <w:rPr>
          <w:rFonts w:ascii="Times New Roman" w:eastAsia="Times New Roman" w:hAnsi="Times New Roman" w:cs="Times New Roman"/>
          <w:sz w:val="24"/>
          <w:szCs w:val="24"/>
        </w:rPr>
        <w:t>memorization</w:t>
      </w:r>
      <w:r w:rsidRPr="009B13F9">
        <w:rPr>
          <w:rFonts w:ascii="Times New Roman" w:eastAsia="Times New Roman" w:hAnsi="Times New Roman" w:cs="Times New Roman"/>
          <w:sz w:val="24"/>
          <w:szCs w:val="24"/>
        </w:rPr>
        <w:t xml:space="preserve"> or high-stakes exam.</w:t>
      </w:r>
    </w:p>
    <w:p w14:paraId="0E8FA5C4"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 order to fill this transitional gap, learners need to actively adjust their metacognitive learning strategies, namely planning, monitoring and evaluating their thinking process (Flavell, 1979). In classical educational psychological research, metacognition is viewed as a separate, internal cognitive loop (Schraw &amp; Dennison, 1994), but in today's multicultural classrooms this individualistic bias is questioned. Students do not regulate themselves individually in various contexts. Rather, their cognitive monitoring is socially distributed, affectively supported and structurally enabled by new digital tools such as generative artificial intelligence (AI) tools (Akinrinola et al., 2025).</w:t>
      </w:r>
    </w:p>
    <w:p w14:paraId="37D71A28" w14:textId="2A5B01CD"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phenomenon is</w:t>
      </w:r>
      <w:r w:rsidR="007A5124" w:rsidRPr="009B13F9">
        <w:rPr>
          <w:rFonts w:ascii="Times New Roman" w:eastAsia="Times New Roman" w:hAnsi="Times New Roman" w:cs="Times New Roman"/>
          <w:sz w:val="24"/>
          <w:szCs w:val="24"/>
        </w:rPr>
        <w:t xml:space="preserve"> very </w:t>
      </w:r>
      <w:r w:rsidRPr="009B13F9">
        <w:rPr>
          <w:rFonts w:ascii="Times New Roman" w:eastAsia="Times New Roman" w:hAnsi="Times New Roman" w:cs="Times New Roman"/>
          <w:sz w:val="24"/>
          <w:szCs w:val="24"/>
        </w:rPr>
        <w:t xml:space="preserve">visible in the study site which is an international liberal arts university for women located in Chattogram, Bangladesh. The institution connects female academics in Asia and the Global South, including Bangladesh, Afghanistan, Myanmar, Timor-Leste and refugee communities in the region. Many of these students have experienced a change in their education systems, geopolitical instability, language changes or gender barriers in the institutions they have attended. In the Master of Arts in Education program, they experience a </w:t>
      </w:r>
      <w:r w:rsidRPr="009B13F9">
        <w:rPr>
          <w:rFonts w:ascii="Times New Roman" w:eastAsia="Times New Roman" w:hAnsi="Times New Roman" w:cs="Times New Roman"/>
          <w:sz w:val="24"/>
          <w:szCs w:val="24"/>
        </w:rPr>
        <w:lastRenderedPageBreak/>
        <w:t>pedagogy that is student-centered, discussion-based, and requires careful collaborative dialogue. This qualitative case study examines the way in which multicultural social interaction, technological mediation and cultural identity reconfigure traditional notions of metacognitive self-regulation, by focusing on this unique group.</w:t>
      </w:r>
    </w:p>
    <w:p w14:paraId="52135516"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6" w:name="_7igbop6sidwc" w:colFirst="0" w:colLast="0"/>
      <w:bookmarkStart w:id="7" w:name="_Toc235800165"/>
      <w:bookmarkEnd w:id="6"/>
      <w:r w:rsidRPr="009B13F9">
        <w:rPr>
          <w:rFonts w:ascii="Times New Roman" w:eastAsia="Times New Roman" w:hAnsi="Times New Roman" w:cs="Times New Roman"/>
          <w:b/>
          <w:bCs/>
          <w:sz w:val="24"/>
          <w:szCs w:val="24"/>
        </w:rPr>
        <w:t>1.2 Statement of the Problem</w:t>
      </w:r>
      <w:bookmarkEnd w:id="7"/>
    </w:p>
    <w:p w14:paraId="4AB3FDB1" w14:textId="6DBEF58A"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Although metacognitive strategies are known to be predictive of higher education achievement (Zimmerman, 2002), there are many conceptual gaps in the literature. First, basic SRL (</w:t>
      </w:r>
      <w:r w:rsidR="00FD1FDA" w:rsidRPr="009B13F9">
        <w:rPr>
          <w:rFonts w:ascii="Times New Roman" w:eastAsia="Times New Roman" w:hAnsi="Times New Roman" w:cs="Times New Roman"/>
          <w:sz w:val="24"/>
          <w:szCs w:val="24"/>
        </w:rPr>
        <w:t>Self-Regulated</w:t>
      </w:r>
      <w:r w:rsidRPr="009B13F9">
        <w:rPr>
          <w:rFonts w:ascii="Times New Roman" w:eastAsia="Times New Roman" w:hAnsi="Times New Roman" w:cs="Times New Roman"/>
          <w:sz w:val="24"/>
          <w:szCs w:val="24"/>
        </w:rPr>
        <w:t xml:space="preserve"> Learning) models are mainly influenced by western and individualistic perspectives, and the cognitive tracking process is an internal and individual process. This framework fails to take into account the socially-distributed, relational and collaborative ways of learning that are common in non-Western and collectivist societies.</w:t>
      </w:r>
    </w:p>
    <w:p w14:paraId="76183AD3" w14:textId="5E27D8DF"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Second</w:t>
      </w:r>
      <w:r w:rsidR="0051517D">
        <w:rPr>
          <w:rFonts w:ascii="Times New Roman" w:eastAsia="Times New Roman" w:hAnsi="Times New Roman" w:cs="Times New Roman"/>
          <w:sz w:val="24"/>
          <w:szCs w:val="24"/>
        </w:rPr>
        <w:t>ly</w:t>
      </w:r>
      <w:r w:rsidRPr="009B13F9">
        <w:rPr>
          <w:rFonts w:ascii="Times New Roman" w:eastAsia="Times New Roman" w:hAnsi="Times New Roman" w:cs="Times New Roman"/>
          <w:sz w:val="24"/>
          <w:szCs w:val="24"/>
        </w:rPr>
        <w:t>, empirical studies about international student adaptation are based on general international quantitative inventories. Such data do not capture the flexible and real-time adaptations that students make when they are in multicultural contexts and especially when they are learning in institutions within the Global South, rather than going to the Global North. In addition, there is a gap in the qualitative analysis of female postgraduate cohorts that have survived political conflict, displacement or structural isolation.</w:t>
      </w:r>
    </w:p>
    <w:p w14:paraId="1A95B474" w14:textId="6589AFDA"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Finally, the rapid expansion of generative AI platforms (such as ChatGPT, NotebookLM and Perplexity) has outpaced educational theory. The extent to which multilingual learners use these technologies as real-time cognitive and linguistic scaffolds to combat academic text anxiety is not well known. This study aims to fill these intersections of gaps with a contextually based qualitative study of the lived learning pathways of MA in Education students at </w:t>
      </w:r>
      <w:r w:rsidR="000633AC">
        <w:rPr>
          <w:rFonts w:ascii="Times New Roman" w:eastAsia="Times New Roman" w:hAnsi="Times New Roman" w:cs="Times New Roman"/>
          <w:sz w:val="24"/>
          <w:szCs w:val="24"/>
        </w:rPr>
        <w:t>this</w:t>
      </w:r>
      <w:r w:rsidRPr="009B13F9">
        <w:rPr>
          <w:rFonts w:ascii="Times New Roman" w:eastAsia="Times New Roman" w:hAnsi="Times New Roman" w:cs="Times New Roman"/>
          <w:sz w:val="24"/>
          <w:szCs w:val="24"/>
        </w:rPr>
        <w:t xml:space="preserve"> international women's university. </w:t>
      </w:r>
    </w:p>
    <w:p w14:paraId="7C388D18"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8" w:name="_yo7ia7qaifjq" w:colFirst="0" w:colLast="0"/>
      <w:bookmarkStart w:id="9" w:name="_Toc235800166"/>
      <w:bookmarkEnd w:id="8"/>
      <w:r w:rsidRPr="009B13F9">
        <w:rPr>
          <w:rFonts w:ascii="Times New Roman" w:eastAsia="Times New Roman" w:hAnsi="Times New Roman" w:cs="Times New Roman"/>
          <w:b/>
          <w:bCs/>
          <w:sz w:val="24"/>
          <w:szCs w:val="24"/>
        </w:rPr>
        <w:lastRenderedPageBreak/>
        <w:t>1.3 Purpose of the Study</w:t>
      </w:r>
      <w:bookmarkEnd w:id="9"/>
    </w:p>
    <w:p w14:paraId="2089D273" w14:textId="74BF2074"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qualitative case study aimed to investigate the process of negotiation and transformation of learner's metacognitive learning strategies in the multicultural MA in Education class of an international liberal arts university for female students in </w:t>
      </w:r>
      <w:r w:rsidR="00283C2F" w:rsidRPr="009B13F9">
        <w:rPr>
          <w:rFonts w:ascii="Times New Roman" w:eastAsia="Times New Roman" w:hAnsi="Times New Roman" w:cs="Times New Roman"/>
          <w:sz w:val="24"/>
          <w:szCs w:val="24"/>
        </w:rPr>
        <w:t xml:space="preserve">Chattogram, </w:t>
      </w:r>
      <w:r w:rsidRPr="009B13F9">
        <w:rPr>
          <w:rFonts w:ascii="Times New Roman" w:eastAsia="Times New Roman" w:hAnsi="Times New Roman" w:cs="Times New Roman"/>
          <w:sz w:val="24"/>
          <w:szCs w:val="24"/>
        </w:rPr>
        <w:t>Bangladesh.</w:t>
      </w:r>
    </w:p>
    <w:p w14:paraId="625B3BA6" w14:textId="6786AB8D"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 particular, the study sought to gain insight into how these postgraduate students plan, monitor and evaluate their understanding as they adapt to student-</w:t>
      </w:r>
      <w:r w:rsidR="00FD1FDA" w:rsidRPr="009B13F9">
        <w:rPr>
          <w:rFonts w:ascii="Times New Roman" w:eastAsia="Times New Roman" w:hAnsi="Times New Roman" w:cs="Times New Roman"/>
          <w:sz w:val="24"/>
          <w:szCs w:val="24"/>
        </w:rPr>
        <w:t>centered</w:t>
      </w:r>
      <w:r w:rsidRPr="009B13F9">
        <w:rPr>
          <w:rFonts w:ascii="Times New Roman" w:eastAsia="Times New Roman" w:hAnsi="Times New Roman" w:cs="Times New Roman"/>
          <w:sz w:val="24"/>
          <w:szCs w:val="24"/>
        </w:rPr>
        <w:t xml:space="preserve"> and discussion-based pedagogy. The study explored the impact of previous schooling experiences and cultural identities on the ongoing study process, the shifting nature of the certainty of knowledge due to intercultural friction between peers, and the role of new AI technologies as adaptive cognitive scaffolds.</w:t>
      </w:r>
    </w:p>
    <w:p w14:paraId="610C4025"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study aims at reconstructing classical models of metacognition into a holistic framework that integrates cognitive, social, affective and technological dimensions by collecting multi-perspective qualitative data. </w:t>
      </w:r>
    </w:p>
    <w:p w14:paraId="2E05BA69"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10" w:name="_w0ranm9zpyvf" w:colFirst="0" w:colLast="0"/>
      <w:bookmarkStart w:id="11" w:name="_Toc235800167"/>
      <w:bookmarkEnd w:id="10"/>
      <w:r w:rsidRPr="009B13F9">
        <w:rPr>
          <w:rFonts w:ascii="Times New Roman" w:eastAsia="Times New Roman" w:hAnsi="Times New Roman" w:cs="Times New Roman"/>
          <w:b/>
          <w:bCs/>
          <w:sz w:val="24"/>
          <w:szCs w:val="24"/>
        </w:rPr>
        <w:t>1.4 Research Questions</w:t>
      </w:r>
      <w:bookmarkEnd w:id="11"/>
    </w:p>
    <w:p w14:paraId="2CCD285C" w14:textId="77777777" w:rsidR="003D5428" w:rsidRPr="009B13F9" w:rsidRDefault="00000000" w:rsidP="009B13F9">
      <w:pPr>
        <w:spacing w:before="240" w:after="240"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study was guided by the following primary research question:</w:t>
      </w:r>
    </w:p>
    <w:p w14:paraId="55921F92" w14:textId="60031685" w:rsidR="003D5428" w:rsidRPr="009B13F9" w:rsidRDefault="00000000" w:rsidP="009B13F9">
      <w:pPr>
        <w:spacing w:before="240" w:after="240"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How do female postgraduate students negotiate and transform their metacognitive</w:t>
      </w:r>
      <w:r w:rsidR="00FD1FDA"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sz w:val="24"/>
          <w:szCs w:val="24"/>
        </w:rPr>
        <w:t>learning strategies within a multicultural graduate education classroom?</w:t>
      </w:r>
    </w:p>
    <w:p w14:paraId="61D20F2F" w14:textId="77777777" w:rsidR="003D5428" w:rsidRPr="009B13F9" w:rsidRDefault="00000000" w:rsidP="009B13F9">
      <w:pPr>
        <w:spacing w:before="240" w:after="240"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To address this comprehensive inquiry, the study explored four specific sub-questions:</w:t>
      </w:r>
    </w:p>
    <w:p w14:paraId="529D7489" w14:textId="77777777" w:rsidR="003D5428" w:rsidRPr="009B13F9" w:rsidRDefault="00000000" w:rsidP="009B13F9">
      <w:pPr>
        <w:pStyle w:val="ListParagraph"/>
        <w:numPr>
          <w:ilvl w:val="0"/>
          <w:numId w:val="19"/>
        </w:numPr>
        <w:spacing w:before="24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What specific metacognitive strategies (planning, monitoring and evaluating) do the MA in Education students employ to manage their graduate workloads?</w:t>
      </w:r>
    </w:p>
    <w:p w14:paraId="7D8C8C46" w14:textId="77777777" w:rsidR="003D5428" w:rsidRPr="009B13F9" w:rsidRDefault="00000000" w:rsidP="009B13F9">
      <w:pPr>
        <w:pStyle w:val="ListParagraph"/>
        <w:numPr>
          <w:ilvl w:val="0"/>
          <w:numId w:val="19"/>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lastRenderedPageBreak/>
        <w:t>How do participants describe the influence of their prior educational traditions and cultural backgrounds on their current self-regulatory practices?</w:t>
      </w:r>
    </w:p>
    <w:p w14:paraId="13EE57D6" w14:textId="77777777" w:rsidR="003D5428" w:rsidRPr="009B13F9" w:rsidRDefault="00000000" w:rsidP="009B13F9">
      <w:pPr>
        <w:pStyle w:val="ListParagraph"/>
        <w:numPr>
          <w:ilvl w:val="0"/>
          <w:numId w:val="19"/>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How does continuous interaction within a multicultural peer environment shape or transform students’ epistemological approaches to learning over time?</w:t>
      </w:r>
    </w:p>
    <w:p w14:paraId="39AC70B4" w14:textId="77777777" w:rsidR="003D5428" w:rsidRPr="009B13F9" w:rsidRDefault="00000000" w:rsidP="009B13F9">
      <w:pPr>
        <w:pStyle w:val="ListParagraph"/>
        <w:numPr>
          <w:ilvl w:val="0"/>
          <w:numId w:val="19"/>
        </w:numPr>
        <w:spacing w:after="24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How do students’ culturally grounded, holistic conceptions of learning align with or extend dominant Western models of metacognition?</w:t>
      </w:r>
    </w:p>
    <w:p w14:paraId="276C7991"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12" w:name="_axinyqjrosr3" w:colFirst="0" w:colLast="0"/>
      <w:bookmarkStart w:id="13" w:name="_Toc235800168"/>
      <w:bookmarkEnd w:id="12"/>
      <w:r w:rsidRPr="009B13F9">
        <w:rPr>
          <w:rFonts w:ascii="Times New Roman" w:eastAsia="Times New Roman" w:hAnsi="Times New Roman" w:cs="Times New Roman"/>
          <w:b/>
          <w:bCs/>
          <w:sz w:val="24"/>
          <w:szCs w:val="24"/>
        </w:rPr>
        <w:t>1.5 Significance of the Study</w:t>
      </w:r>
      <w:bookmarkEnd w:id="13"/>
    </w:p>
    <w:p w14:paraId="078070CB" w14:textId="3A092F91"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research makes significant contributions in theoretical, pedagogical and methodological aspects. It is theoretically significant because it demonstrates that planning, monitoring and evaluation can be shared among material spaces, peer groups and cultural tools, thus de-centering individualistic conceptions of self-regulation typical of western models. It integrates cognitive metacognition theory</w:t>
      </w:r>
      <w:r w:rsidR="00BC10D3">
        <w:rPr>
          <w:rFonts w:ascii="Times New Roman" w:eastAsia="Times New Roman" w:hAnsi="Times New Roman" w:cs="Times New Roman"/>
          <w:sz w:val="24"/>
          <w:szCs w:val="24"/>
        </w:rPr>
        <w:t xml:space="preserve"> (Flavell, 1979)</w:t>
      </w:r>
      <w:r w:rsidRPr="009B13F9">
        <w:rPr>
          <w:rFonts w:ascii="Times New Roman" w:eastAsia="Times New Roman" w:hAnsi="Times New Roman" w:cs="Times New Roman"/>
          <w:sz w:val="24"/>
          <w:szCs w:val="24"/>
        </w:rPr>
        <w:t>, Vygotsky's sociocultural theory</w:t>
      </w:r>
      <w:r w:rsidR="00FD1FDA" w:rsidRPr="009B13F9">
        <w:rPr>
          <w:rFonts w:ascii="Times New Roman" w:eastAsia="Times New Roman" w:hAnsi="Times New Roman" w:cs="Times New Roman"/>
          <w:sz w:val="24"/>
          <w:szCs w:val="24"/>
        </w:rPr>
        <w:t xml:space="preserve"> (Vygotsky, 1978)</w:t>
      </w:r>
      <w:r w:rsidRPr="009B13F9">
        <w:rPr>
          <w:rFonts w:ascii="Times New Roman" w:eastAsia="Times New Roman" w:hAnsi="Times New Roman" w:cs="Times New Roman"/>
          <w:sz w:val="24"/>
          <w:szCs w:val="24"/>
        </w:rPr>
        <w:t>, and culturally responsive pedagogies</w:t>
      </w:r>
      <w:r w:rsidR="00FD1FDA" w:rsidRPr="009B13F9">
        <w:rPr>
          <w:rFonts w:ascii="Times New Roman" w:eastAsia="Times New Roman" w:hAnsi="Times New Roman" w:cs="Times New Roman"/>
          <w:sz w:val="24"/>
          <w:szCs w:val="24"/>
        </w:rPr>
        <w:t xml:space="preserve"> (Gay, 2018)</w:t>
      </w:r>
      <w:r w:rsidRPr="009B13F9">
        <w:rPr>
          <w:rFonts w:ascii="Times New Roman" w:eastAsia="Times New Roman" w:hAnsi="Times New Roman" w:cs="Times New Roman"/>
          <w:sz w:val="24"/>
          <w:szCs w:val="24"/>
        </w:rPr>
        <w:t>.</w:t>
      </w:r>
    </w:p>
    <w:p w14:paraId="6573C94D"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 practical terms, the results provide a blueprint for university administrators and graduate faculty members around the world. It identifies ways to design structurally supportive orientation paths, reduce language performance anxiety, and ethically use generative AI as a language-translation scaffold and not as an institutional threat. It clearly outlines how emotional care, spiritual practices, and cultural memory are direct precursors to cognitive endurance for institutions operating in conflict zones in the Global South.</w:t>
      </w:r>
    </w:p>
    <w:p w14:paraId="25FE7999"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In methodological terms, the study emphasizes the importance of multimodal qualitative inquiry. The research uses individual semi-structured interviews, focus groups and participant-driven photovoice submissions to reveal private, embedded spatial adjustments and material study environments, which are otherwise difficult to access via verbal interviews alone. </w:t>
      </w:r>
    </w:p>
    <w:p w14:paraId="2E8BA844"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14" w:name="_ze700zxtwmi2" w:colFirst="0" w:colLast="0"/>
      <w:bookmarkStart w:id="15" w:name="_Toc235800169"/>
      <w:bookmarkEnd w:id="14"/>
      <w:r w:rsidRPr="009B13F9">
        <w:rPr>
          <w:rFonts w:ascii="Times New Roman" w:eastAsia="Times New Roman" w:hAnsi="Times New Roman" w:cs="Times New Roman"/>
          <w:b/>
          <w:bCs/>
          <w:sz w:val="24"/>
          <w:szCs w:val="24"/>
        </w:rPr>
        <w:lastRenderedPageBreak/>
        <w:t>1.6 Scope and Delimitations</w:t>
      </w:r>
      <w:bookmarkEnd w:id="15"/>
    </w:p>
    <w:p w14:paraId="3EC30FB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study was conducted with students of the Master of Arts in Education program at an international liberal arts university for women in Chattogram, Bangladesh in 2025-2026.</w:t>
      </w:r>
    </w:p>
    <w:p w14:paraId="5C3DF515"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There were several obvious delimitations to the scope:</w:t>
      </w:r>
    </w:p>
    <w:p w14:paraId="4FF0032A" w14:textId="77777777" w:rsidR="003D5428" w:rsidRPr="009B13F9" w:rsidRDefault="00000000" w:rsidP="009B13F9">
      <w:pPr>
        <w:numPr>
          <w:ilvl w:val="0"/>
          <w:numId w:val="5"/>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research was purely qualitative and concerned with the internal interpretation of the students, their own description of what they are doing, and their own description of what they are seeing, and not with the objective calculation of grade point averages (GPAs) or with the effectiveness of explicit teaching interventions.</w:t>
      </w:r>
    </w:p>
    <w:p w14:paraId="45B6489C" w14:textId="77777777" w:rsidR="003D5428" w:rsidRPr="009B13F9" w:rsidRDefault="00000000" w:rsidP="009B13F9">
      <w:pPr>
        <w:numPr>
          <w:ilvl w:val="0"/>
          <w:numId w:val="5"/>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sample was restricted to first and second year postgraduate students in the field of education. Did not follow undergraduate paths or other career areas.</w:t>
      </w:r>
    </w:p>
    <w:p w14:paraId="7D0C6727" w14:textId="47C688C1" w:rsidR="003D5428" w:rsidRPr="009B13F9" w:rsidRDefault="00000000" w:rsidP="009B13F9">
      <w:pPr>
        <w:numPr>
          <w:ilvl w:val="0"/>
          <w:numId w:val="5"/>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text analyses the functional use of generative artificial intelligence, but not to test software performance or technological optimization, but to </w:t>
      </w:r>
      <w:r w:rsidR="00FD1FDA" w:rsidRPr="009B13F9">
        <w:rPr>
          <w:rFonts w:ascii="Times New Roman" w:eastAsia="Times New Roman" w:hAnsi="Times New Roman" w:cs="Times New Roman"/>
          <w:sz w:val="24"/>
          <w:szCs w:val="24"/>
        </w:rPr>
        <w:t>analyze</w:t>
      </w:r>
      <w:r w:rsidRPr="009B13F9">
        <w:rPr>
          <w:rFonts w:ascii="Times New Roman" w:eastAsia="Times New Roman" w:hAnsi="Times New Roman" w:cs="Times New Roman"/>
          <w:sz w:val="24"/>
          <w:szCs w:val="24"/>
        </w:rPr>
        <w:t xml:space="preserve"> modifications in human strategy.</w:t>
      </w:r>
    </w:p>
    <w:p w14:paraId="5FDE453E" w14:textId="77777777" w:rsidR="003D5428" w:rsidRPr="009B13F9" w:rsidRDefault="00000000" w:rsidP="009B13F9">
      <w:pPr>
        <w:numPr>
          <w:ilvl w:val="0"/>
          <w:numId w:val="5"/>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Data was collected cross-sectionally in a specified multi-month period and change over time was interpreted based on previous student reflections instead of a multi-year longitudinal tracking model. </w:t>
      </w:r>
    </w:p>
    <w:p w14:paraId="6D1341F3"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16" w:name="_d2r9v96phvw" w:colFirst="0" w:colLast="0"/>
      <w:bookmarkStart w:id="17" w:name="_Toc235800170"/>
      <w:bookmarkEnd w:id="16"/>
      <w:r w:rsidRPr="009B13F9">
        <w:rPr>
          <w:rFonts w:ascii="Times New Roman" w:eastAsia="Times New Roman" w:hAnsi="Times New Roman" w:cs="Times New Roman"/>
          <w:b/>
          <w:bCs/>
          <w:sz w:val="24"/>
          <w:szCs w:val="24"/>
        </w:rPr>
        <w:t>1.7 Definition of Key Terms</w:t>
      </w:r>
      <w:bookmarkEnd w:id="17"/>
    </w:p>
    <w:p w14:paraId="16D5ECBC" w14:textId="0F828AD1"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Metacognitive Learning Strategies:</w:t>
      </w:r>
      <w:r w:rsidRPr="009B13F9">
        <w:rPr>
          <w:rFonts w:ascii="Times New Roman" w:eastAsia="Times New Roman" w:hAnsi="Times New Roman" w:cs="Times New Roman"/>
          <w:sz w:val="24"/>
          <w:szCs w:val="24"/>
        </w:rPr>
        <w:t xml:space="preserve"> Students' deliberate and purposeful </w:t>
      </w:r>
      <w:r w:rsidR="00005A72">
        <w:rPr>
          <w:rFonts w:ascii="Times New Roman" w:eastAsia="Times New Roman" w:hAnsi="Times New Roman" w:cs="Times New Roman"/>
          <w:sz w:val="24"/>
          <w:szCs w:val="24"/>
        </w:rPr>
        <w:t>studying</w:t>
      </w:r>
      <w:r w:rsidRPr="009B13F9">
        <w:rPr>
          <w:rFonts w:ascii="Times New Roman" w:eastAsia="Times New Roman" w:hAnsi="Times New Roman" w:cs="Times New Roman"/>
          <w:sz w:val="24"/>
          <w:szCs w:val="24"/>
        </w:rPr>
        <w:t xml:space="preserve"> strategies, such as goal setting, task prioritization, comprehension of text, tracking context, and adjusting strategy.</w:t>
      </w:r>
    </w:p>
    <w:p w14:paraId="27E799AD"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lastRenderedPageBreak/>
        <w:t>Multicultural Graduate Classroom:</w:t>
      </w:r>
      <w:r w:rsidRPr="009B13F9">
        <w:rPr>
          <w:rFonts w:ascii="Times New Roman" w:eastAsia="Times New Roman" w:hAnsi="Times New Roman" w:cs="Times New Roman"/>
          <w:sz w:val="24"/>
          <w:szCs w:val="24"/>
        </w:rPr>
        <w:t xml:space="preserve"> An advanced, seminar-driven higher education setting where students having distinct national origins, native languages and prior schooling traditions collectively co-construct knowledge.</w:t>
      </w:r>
    </w:p>
    <w:p w14:paraId="7AFF5038"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AI-Assisted Learning:</w:t>
      </w:r>
      <w:r w:rsidRPr="009B13F9">
        <w:rPr>
          <w:rFonts w:ascii="Times New Roman" w:eastAsia="Times New Roman" w:hAnsi="Times New Roman" w:cs="Times New Roman"/>
          <w:sz w:val="24"/>
          <w:szCs w:val="24"/>
        </w:rPr>
        <w:t xml:space="preserve"> The intentional deployment of generative artificial intelligence applications (e.g., ChatGPT, NotebookLM, Perplexity) as personalized scaffolds for text simplification, concept contextualization and vocabulary translation.</w:t>
      </w:r>
    </w:p>
    <w:p w14:paraId="2FB57466"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Culturally Grounded Learning:</w:t>
      </w:r>
      <w:r w:rsidRPr="009B13F9">
        <w:rPr>
          <w:rFonts w:ascii="Times New Roman" w:eastAsia="Times New Roman" w:hAnsi="Times New Roman" w:cs="Times New Roman"/>
          <w:sz w:val="24"/>
          <w:szCs w:val="24"/>
        </w:rPr>
        <w:t xml:space="preserve"> The ways in which academic theory is filtered, interpreted and applied through the lived experience, cultural values, language and community responsibilities of the individual. </w:t>
      </w:r>
    </w:p>
    <w:p w14:paraId="5F3F30DD"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18" w:name="_47i3jg512rbt" w:colFirst="0" w:colLast="0"/>
      <w:bookmarkStart w:id="19" w:name="_Toc235800171"/>
      <w:bookmarkEnd w:id="18"/>
      <w:r w:rsidRPr="009B13F9">
        <w:rPr>
          <w:rFonts w:ascii="Times New Roman" w:eastAsia="Times New Roman" w:hAnsi="Times New Roman" w:cs="Times New Roman"/>
          <w:b/>
          <w:bCs/>
          <w:sz w:val="24"/>
          <w:szCs w:val="24"/>
        </w:rPr>
        <w:t>1.8 Organization of the Thesis</w:t>
      </w:r>
      <w:bookmarkEnd w:id="19"/>
    </w:p>
    <w:p w14:paraId="164276E3"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thesis consists of six chapters. The study framework, problem focus, research questions, and scope boundary are introduced in Chapter 1. The theoretical underpinning is developed in Chapter 2 through a review of literature in the fields of metacognition, sociocultural tools, epistemological belief structures and culturally sustaining frameworks. Chapter 3 provides an explanation of the qualitative methodology, the interpretive paradigm, the single case design and data triangulation procedure. The reflexive thematic analysis and qualitative findings are presented in Chapter 4. The generated themes are discussed in Chapter 5 in relation to the international literature and institutional implications, limitations and future research directions are noted. Chapter 6 provides a summary of the baseline insights, answers the key research questions and presents final conclusions. </w:t>
      </w:r>
    </w:p>
    <w:p w14:paraId="2F00EB6E" w14:textId="77777777" w:rsidR="002F3B2B" w:rsidRPr="009B13F9" w:rsidRDefault="002F3B2B" w:rsidP="009B13F9">
      <w:pPr>
        <w:spacing w:line="480" w:lineRule="auto"/>
        <w:rPr>
          <w:rFonts w:ascii="Times New Roman" w:eastAsia="Times New Roman" w:hAnsi="Times New Roman" w:cs="Times New Roman"/>
          <w:b/>
          <w:bCs/>
          <w:sz w:val="24"/>
          <w:szCs w:val="24"/>
        </w:rPr>
      </w:pPr>
      <w:bookmarkStart w:id="20" w:name="_xikhq4gnfhi" w:colFirst="0" w:colLast="0"/>
      <w:bookmarkEnd w:id="20"/>
      <w:r w:rsidRPr="009B13F9">
        <w:rPr>
          <w:rFonts w:ascii="Times New Roman" w:eastAsia="Times New Roman" w:hAnsi="Times New Roman" w:cs="Times New Roman"/>
          <w:b/>
          <w:bCs/>
          <w:sz w:val="24"/>
          <w:szCs w:val="24"/>
        </w:rPr>
        <w:br w:type="page"/>
      </w:r>
    </w:p>
    <w:p w14:paraId="0ED7ABD3" w14:textId="17799975" w:rsidR="003D5428" w:rsidRPr="009B13F9" w:rsidRDefault="00000000" w:rsidP="009B13F9">
      <w:pPr>
        <w:pStyle w:val="Heading1"/>
        <w:keepNext w:val="0"/>
        <w:keepLines w:val="0"/>
        <w:spacing w:before="480" w:line="480" w:lineRule="auto"/>
        <w:jc w:val="center"/>
        <w:rPr>
          <w:rFonts w:ascii="Times New Roman" w:eastAsia="Times New Roman" w:hAnsi="Times New Roman" w:cs="Times New Roman"/>
          <w:b/>
          <w:bCs/>
          <w:sz w:val="24"/>
          <w:szCs w:val="24"/>
        </w:rPr>
      </w:pPr>
      <w:bookmarkStart w:id="21" w:name="_Toc235800172"/>
      <w:r w:rsidRPr="009B13F9">
        <w:rPr>
          <w:rFonts w:ascii="Times New Roman" w:eastAsia="Times New Roman" w:hAnsi="Times New Roman" w:cs="Times New Roman"/>
          <w:b/>
          <w:bCs/>
          <w:sz w:val="24"/>
          <w:szCs w:val="24"/>
        </w:rPr>
        <w:lastRenderedPageBreak/>
        <w:t>2. Literature Review</w:t>
      </w:r>
      <w:bookmarkEnd w:id="21"/>
    </w:p>
    <w:p w14:paraId="02E76A77"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22" w:name="_tlzdfzvxwtyn" w:colFirst="0" w:colLast="0"/>
      <w:bookmarkStart w:id="23" w:name="_Toc235800173"/>
      <w:bookmarkEnd w:id="22"/>
      <w:r w:rsidRPr="009B13F9">
        <w:rPr>
          <w:rFonts w:ascii="Times New Roman" w:eastAsia="Times New Roman" w:hAnsi="Times New Roman" w:cs="Times New Roman"/>
          <w:b/>
          <w:bCs/>
          <w:sz w:val="24"/>
          <w:szCs w:val="24"/>
        </w:rPr>
        <w:t>2.1 Introduction</w:t>
      </w:r>
      <w:bookmarkEnd w:id="23"/>
    </w:p>
    <w:p w14:paraId="02EBFC2D" w14:textId="130A9CC5"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Metacognitive learning strategies, consisting of the capacity to plan, monitor and evaluate one's thought processes, are critical to academic success in higher education (Brown, 1987; Flavell, 1979). In early educational research, metacognition was portrayed as an individual and internal cognitive ability, but current research shows that self-regulation is situated in social, cultural and institutional contexts (Al-Nofaie, 2022; Brycz et al., 2015; Hen et al., 2024). This contextual dependency is particularly evident in </w:t>
      </w:r>
      <w:r w:rsidR="002F0D30" w:rsidRPr="009B13F9">
        <w:rPr>
          <w:rFonts w:ascii="Times New Roman" w:eastAsia="Times New Roman" w:hAnsi="Times New Roman" w:cs="Times New Roman"/>
          <w:sz w:val="24"/>
          <w:szCs w:val="24"/>
        </w:rPr>
        <w:t>internationalized</w:t>
      </w:r>
      <w:r w:rsidRPr="009B13F9">
        <w:rPr>
          <w:rFonts w:ascii="Times New Roman" w:eastAsia="Times New Roman" w:hAnsi="Times New Roman" w:cs="Times New Roman"/>
          <w:sz w:val="24"/>
          <w:szCs w:val="24"/>
        </w:rPr>
        <w:t xml:space="preserve"> graduate classrooms where students face new pedagogical approaches, different language expectations and differing norms of academic discourse (García et al., 2021; Vygotsky, 1978).</w:t>
      </w:r>
    </w:p>
    <w:p w14:paraId="3235EC85"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 addition, postgraduate transitions overlap with changing epistemological beliefs and disciplinary traditions, where students are expected to work in an autonomous and critical way (Hofer &amp; Pintrich, 1997; Perry, 1999). Culturally responsive, relevant, and sustaining pedagogical approaches emphasize that classroom contexts that affirm students' cultural identities and past school experiences can greatly facilitate metacognitive adaptation (Gay, 2010; Ladson-Billings, 1995; Paris, 2012).</w:t>
      </w:r>
    </w:p>
    <w:p w14:paraId="59BF6E3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growing conceptual awareness is accompanied by a great need. Existing literature tends to be either on tracking of cognitive strategies in isolation, or on large-scale comparative inventories across countries (Brycz et al., 2015; Fleming et al., 2018). Few qualitative studies follow the process of negotiation and reconstruction of metacognitive strategies of students from historically marginalized or conflict affected areas in shared multicultural graduate spaces. This literature review combines cognitive metacognition theory, sociocultural perspectives, </w:t>
      </w:r>
      <w:r w:rsidRPr="009B13F9">
        <w:rPr>
          <w:rFonts w:ascii="Times New Roman" w:eastAsia="Times New Roman" w:hAnsi="Times New Roman" w:cs="Times New Roman"/>
          <w:sz w:val="24"/>
          <w:szCs w:val="24"/>
        </w:rPr>
        <w:lastRenderedPageBreak/>
        <w:t>epistemological development models and culturally responsive pedagogy to provide the conceptual framework for this study.</w:t>
      </w:r>
    </w:p>
    <w:p w14:paraId="1FF35C18"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24" w:name="_7b8qrmkufs7x" w:colFirst="0" w:colLast="0"/>
      <w:bookmarkStart w:id="25" w:name="_Toc235800174"/>
      <w:bookmarkEnd w:id="24"/>
      <w:r w:rsidRPr="009B13F9">
        <w:rPr>
          <w:rFonts w:ascii="Times New Roman" w:eastAsia="Times New Roman" w:hAnsi="Times New Roman" w:cs="Times New Roman"/>
          <w:b/>
          <w:bCs/>
          <w:sz w:val="24"/>
          <w:szCs w:val="24"/>
        </w:rPr>
        <w:t>2.2 Culture and Metacognition</w:t>
      </w:r>
      <w:bookmarkEnd w:id="25"/>
    </w:p>
    <w:p w14:paraId="5620B5B9"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Metacognition is made up of two structural aspects: knowledge about cognition (awareness of one's own cognition, task requirements and strategies) and regulation of cognition (active implementation of planning, comprehension monitoring and performance assessment) (Brown, 1987; Flavell, 1979). These processes are important in higher education contexts where students are involved in complex and non-routine academic work (Ohtani &amp; Hisasaka, 2018). While the underlying cognitive models were implicit in the notion of self-regulation as universal, recent studies indicate that the "metacognitive self," or the systemic ways in which a learner reflects and carries out a strategy, are shaped by previous educational experiences and cultural conventions (Al-Nofaie, 2022; Brycz et al., 2015; García et al., 2021). For instance, students from high-stakes, exam-oriented systems tend to have strong monitoring processes that focus on outcomes, while students from inquiry-based systems tend to have more strategic flexibility.</w:t>
      </w:r>
    </w:p>
    <w:p w14:paraId="3FE84C1B" w14:textId="6F2D6ED1"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Importantly, dominant models of metacognition are based on western, individualistic ideas which place self-regulation as an internal, self-contained cognitive loop within the mind of the individual learner (Flavell, 1979; Schraw &amp; Dennison, 1994). This </w:t>
      </w:r>
      <w:r w:rsidR="0074499A" w:rsidRPr="009B13F9">
        <w:rPr>
          <w:rFonts w:ascii="Times New Roman" w:eastAsia="Times New Roman" w:hAnsi="Times New Roman" w:cs="Times New Roman"/>
          <w:sz w:val="24"/>
          <w:szCs w:val="24"/>
        </w:rPr>
        <w:t>centralized</w:t>
      </w:r>
      <w:r w:rsidRPr="009B13F9">
        <w:rPr>
          <w:rFonts w:ascii="Times New Roman" w:eastAsia="Times New Roman" w:hAnsi="Times New Roman" w:cs="Times New Roman"/>
          <w:sz w:val="24"/>
          <w:szCs w:val="24"/>
        </w:rPr>
        <w:t xml:space="preserve"> perspective is not flexible enough to understand the collaborative, socio-emotionally mediated and relationally driven learning that is typical of non-Western and collectivist societies (Joy &amp; Kolb, 2009; Ramburuth &amp; McCormick, 2001).</w:t>
      </w:r>
    </w:p>
    <w:p w14:paraId="4DBC6FBD"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In many Asian and collectivist educational settings, cognitive self-monitoring is not an individual effort in the pursuit of self-advancement. Rather, it is a starting point for co-constitution of meaning, with self-evaluation in constant negotiation with peers and community </w:t>
      </w:r>
      <w:r w:rsidRPr="009B13F9">
        <w:rPr>
          <w:rFonts w:ascii="Times New Roman" w:eastAsia="Times New Roman" w:hAnsi="Times New Roman" w:cs="Times New Roman"/>
          <w:sz w:val="24"/>
          <w:szCs w:val="24"/>
        </w:rPr>
        <w:lastRenderedPageBreak/>
        <w:t xml:space="preserve">expectations (Purdie et al., 1996). Traditional western frameworks also often leave affective experiences and cultural maintenance as external factors and not as immediate prerequisites for cognitive regulation (Efklides, 2006). Collectivist cultural norms are seen as a lack of academic autonomy when international students from such backgrounds enter competitive, westernized graduate systems, where they tend to externalize and distribute their regulation in a strategic way. The assessment of shared multicultural postgraduate spaces thus requires a theoretical extension which is able to cover these non-Western and holistic practices. </w:t>
      </w:r>
    </w:p>
    <w:p w14:paraId="51178DE2"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26" w:name="_x3ycxk8l6wxz" w:colFirst="0" w:colLast="0"/>
      <w:bookmarkStart w:id="27" w:name="_Toc235800175"/>
      <w:bookmarkEnd w:id="26"/>
      <w:r w:rsidRPr="009B13F9">
        <w:rPr>
          <w:rFonts w:ascii="Times New Roman" w:eastAsia="Times New Roman" w:hAnsi="Times New Roman" w:cs="Times New Roman"/>
          <w:b/>
          <w:bCs/>
          <w:sz w:val="24"/>
          <w:szCs w:val="24"/>
        </w:rPr>
        <w:t>2.3 Sociocultural Theory of Learning</w:t>
      </w:r>
      <w:bookmarkEnd w:id="27"/>
    </w:p>
    <w:p w14:paraId="0FAB0A58"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Sociocultural theory sees cognition as a socially situated process that is negotiated with others through social interaction, cultural instruments and co-constructed community experiences (Vygotsky, 1978). Social mediation is a basic assumption of this framework. Higher order cognitive functions are first developed outside the individual learner in collaborative interactions with teacher, mentor or peer, and then internalized by the individual learner. This internalization is the conversion of the dialogue that is co-constructed by the social environment into individual regulatory cognitive skills (Vygotsky, 1978).</w:t>
      </w:r>
    </w:p>
    <w:p w14:paraId="2FB8936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 the field of education at the graduate level, metacognitive strategies such as planning and monitoring are not stable individual characteristics. Instead, they are internalized reactions to certain educational settings, teaching and learning practices, and peer interaction styles. Advanced academic discourse, disciplinary vocabulary and collaborative tasks are institutional tools that play a crucial role in helping students make sense of information and in structuring their thinking processes (Vygotsky, 1978).</w:t>
      </w:r>
    </w:p>
    <w:p w14:paraId="56FAE008"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These tools are not used in isolation in multicultural contexts of higher education. Their involvement in various peer networks serves as a social arena in which they can compare </w:t>
      </w:r>
      <w:r w:rsidRPr="009B13F9">
        <w:rPr>
          <w:rFonts w:ascii="Times New Roman" w:eastAsia="Times New Roman" w:hAnsi="Times New Roman" w:cs="Times New Roman"/>
          <w:sz w:val="24"/>
          <w:szCs w:val="24"/>
        </w:rPr>
        <w:lastRenderedPageBreak/>
        <w:t>learning strategies, explain unclear ideas and slowly change their metacognitive practices to fit new institutional requirements as they face these new expectations.</w:t>
      </w:r>
    </w:p>
    <w:p w14:paraId="71716D0B"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28" w:name="_3jrru67ftw9s" w:colFirst="0" w:colLast="0"/>
      <w:bookmarkStart w:id="29" w:name="_Toc235800176"/>
      <w:bookmarkEnd w:id="28"/>
      <w:r w:rsidRPr="009B13F9">
        <w:rPr>
          <w:rFonts w:ascii="Times New Roman" w:eastAsia="Times New Roman" w:hAnsi="Times New Roman" w:cs="Times New Roman"/>
          <w:b/>
          <w:bCs/>
          <w:sz w:val="24"/>
          <w:szCs w:val="24"/>
        </w:rPr>
        <w:t>2.4 Epistemological Beliefs and Learning Development</w:t>
      </w:r>
      <w:bookmarkEnd w:id="29"/>
    </w:p>
    <w:p w14:paraId="27712C8B"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Epistemological beliefs are personal beliefs about knowledge and knowing that directly influence a learner's approach to self-regulation (Hofer &amp; Pintrich, 1997). According to foundational developmental frameworks, intellectual development takes place through a dualistic, absolute perspective of knowledge to a contextual relativism (Perry, 1999). In the early stages, people tend to see knowledge as a one-way flow from authority figures such as textbooks or instructors, and as something that is fixed and certain. Learners understand that knowledge is situational and uncertain, and is created through critical enquiry, as they are exposed to a variety of viewpoints and intellectual conflict, leading to more independent and reflective ways of learning (Perry, 1999).</w:t>
      </w:r>
    </w:p>
    <w:p w14:paraId="3BC6998D" w14:textId="4AC9B9EC"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Epistemological beliefs exist on several dimensions such as beliefs about certainty, simplicity, source and justification of knowledge (Hofer &amp; Pintrich, 1997). Students who perceive knowledge as very complex and changing often adopt deep metacognitive monitoring strategies, while students who perceive knowledge as fixed adopt mostly rote </w:t>
      </w:r>
      <w:r w:rsidR="00FF6183" w:rsidRPr="009B13F9">
        <w:rPr>
          <w:rFonts w:ascii="Times New Roman" w:eastAsia="Times New Roman" w:hAnsi="Times New Roman" w:cs="Times New Roman"/>
          <w:sz w:val="24"/>
          <w:szCs w:val="24"/>
        </w:rPr>
        <w:t>memorization</w:t>
      </w:r>
      <w:r w:rsidRPr="009B13F9">
        <w:rPr>
          <w:rFonts w:ascii="Times New Roman" w:eastAsia="Times New Roman" w:hAnsi="Times New Roman" w:cs="Times New Roman"/>
          <w:sz w:val="24"/>
          <w:szCs w:val="24"/>
        </w:rPr>
        <w:t xml:space="preserve"> strategies.</w:t>
      </w:r>
    </w:p>
    <w:p w14:paraId="4CFD93E2" w14:textId="6830223F"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These beliefs are very culturally and educationally embedded. In highly hierarchical and examination-oriented systems, students tend to think of learning as the "consumption of transmitted facts" rather than an active interpretative process (Al-Nofaie, 2022; Hofer &amp; Pintrich, 1997). As they move into discussion-based graduate environments, they are exposed to other worldviews and different academic traditions that call into question these previously held assumptions. This exposure leads to a reassessment of the ways knowledge is legitimated, thus </w:t>
      </w:r>
      <w:r w:rsidRPr="009B13F9">
        <w:rPr>
          <w:rFonts w:ascii="Times New Roman" w:eastAsia="Times New Roman" w:hAnsi="Times New Roman" w:cs="Times New Roman"/>
          <w:sz w:val="24"/>
          <w:szCs w:val="24"/>
        </w:rPr>
        <w:lastRenderedPageBreak/>
        <w:t xml:space="preserve">influencing their epistemological beliefs and self-regulated study </w:t>
      </w:r>
      <w:r w:rsidR="009A2DBE" w:rsidRPr="009B13F9">
        <w:rPr>
          <w:rFonts w:ascii="Times New Roman" w:eastAsia="Times New Roman" w:hAnsi="Times New Roman" w:cs="Times New Roman"/>
          <w:sz w:val="24"/>
          <w:szCs w:val="24"/>
        </w:rPr>
        <w:t>behaviors</w:t>
      </w:r>
      <w:r w:rsidRPr="009B13F9">
        <w:rPr>
          <w:rFonts w:ascii="Times New Roman" w:eastAsia="Times New Roman" w:hAnsi="Times New Roman" w:cs="Times New Roman"/>
          <w:sz w:val="24"/>
          <w:szCs w:val="24"/>
        </w:rPr>
        <w:t xml:space="preserve"> (Al-Nofaie, 2022; Tuononen et al., 2017). </w:t>
      </w:r>
    </w:p>
    <w:p w14:paraId="371F20E4"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30" w:name="_x7xie7okwkr4" w:colFirst="0" w:colLast="0"/>
      <w:bookmarkEnd w:id="30"/>
      <w:r w:rsidRPr="009B13F9">
        <w:rPr>
          <w:rFonts w:ascii="Times New Roman" w:eastAsia="Times New Roman" w:hAnsi="Times New Roman" w:cs="Times New Roman"/>
          <w:b/>
          <w:bCs/>
          <w:sz w:val="24"/>
          <w:szCs w:val="24"/>
        </w:rPr>
        <w:t xml:space="preserve"> </w:t>
      </w:r>
      <w:bookmarkStart w:id="31" w:name="_Toc235800177"/>
      <w:r w:rsidRPr="009B13F9">
        <w:rPr>
          <w:rFonts w:ascii="Times New Roman" w:eastAsia="Times New Roman" w:hAnsi="Times New Roman" w:cs="Times New Roman"/>
          <w:b/>
          <w:bCs/>
          <w:sz w:val="24"/>
          <w:szCs w:val="24"/>
        </w:rPr>
        <w:t>2.5 Culturally Responsive Pedagogy</w:t>
      </w:r>
      <w:bookmarkEnd w:id="31"/>
    </w:p>
    <w:p w14:paraId="403D91DC"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Culturally responsive, relevant and sustaining pedagogies illustrate that culture plays a central role in the way that students perceive knowledge, interact in classrooms and develop self-regulatory strategies (Gay, 2010; Ladson-Billings, 1995; Paris, 2012). In this view, culturally responsive teaching is the deliberate incorporation of students' cultural backgrounds and experiences and varied ways of communicating into learning to enhance the learning and teaching experience (Gay, 2010). This approach sees cultural and linguistic differences as assets and tools that can be used to achieve academic success instead of a problem to be addressed.</w:t>
      </w:r>
    </w:p>
    <w:p w14:paraId="1511864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To maintain these multiple cultural identities, educational environments must support multiple modes of knowing, speaking and participating (Paris, 2012). Students become more academically confident and question their own assumptions when instructional settings promote inclusive classroom conversation, use local examples and embrace multiple perspectives (Al-Nofaie, 2022; Gay, 2010; Hen et al., 2024).</w:t>
      </w:r>
    </w:p>
    <w:p w14:paraId="5C584394"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 addition, effective teaching in diverse classrooms supports students' academic achievement, cultural competence (how one maintains identity while engaging with larger systems), and critical consciousness (how one questions dominant notions of authority) (Ladson-Billings, 1995). Graduate students from various cultures may experience a lot of friction when they encounter pedagogical expectations that they don't know. Culturally responsive spaces help to close this gap because they create safe spaces for knowledge construction through collaboration and dialogue.</w:t>
      </w:r>
    </w:p>
    <w:p w14:paraId="4125680C"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32" w:name="_wldgi1agf7y0" w:colFirst="0" w:colLast="0"/>
      <w:bookmarkStart w:id="33" w:name="_Toc235800178"/>
      <w:bookmarkEnd w:id="32"/>
      <w:r w:rsidRPr="009B13F9">
        <w:rPr>
          <w:rFonts w:ascii="Times New Roman" w:eastAsia="Times New Roman" w:hAnsi="Times New Roman" w:cs="Times New Roman"/>
          <w:b/>
          <w:bCs/>
          <w:sz w:val="24"/>
          <w:szCs w:val="24"/>
        </w:rPr>
        <w:lastRenderedPageBreak/>
        <w:t>2.6 Metacognition in Cross-Cultural Higher Education</w:t>
      </w:r>
      <w:bookmarkEnd w:id="33"/>
    </w:p>
    <w:p w14:paraId="531561A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 the context of internationalization in higher education, there has been a growing interest in the role of metacognitive awareness in supporting students when they face complex academic transitions (Al-Nofaie, 2022; García et al., 2021; Hen et al., 2024). High metacognitive awareness is consistently related to a student's ability to choose effective study strategies, to notice when they are not understanding and to do deep critical analysis (Schraw &amp; Dennison, 1994; Tuononen et al., 2017). But the cross-cultural empirical research indicates that there is no single cognitive foundation level, self-perceptions of the "metacognitive self", evaluation efficiency and learning self-regulation are quite different in various countries and educational systems (Brycz et al., 2015; Fleming et al., 2018; Hen et al., 2024).</w:t>
      </w:r>
    </w:p>
    <w:p w14:paraId="765161CB" w14:textId="6C34F003"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differences illustrate how a student's previous school system and the expectations of the new school system he or she enters into are co-constructed in relation to strategic learning </w:t>
      </w:r>
      <w:r w:rsidR="00BE57F0" w:rsidRPr="009B13F9">
        <w:rPr>
          <w:rFonts w:ascii="Times New Roman" w:eastAsia="Times New Roman" w:hAnsi="Times New Roman" w:cs="Times New Roman"/>
          <w:sz w:val="24"/>
          <w:szCs w:val="24"/>
        </w:rPr>
        <w:t>behaviors</w:t>
      </w:r>
      <w:r w:rsidRPr="009B13F9">
        <w:rPr>
          <w:rFonts w:ascii="Times New Roman" w:eastAsia="Times New Roman" w:hAnsi="Times New Roman" w:cs="Times New Roman"/>
          <w:sz w:val="24"/>
          <w:szCs w:val="24"/>
        </w:rPr>
        <w:t>. These transitions are not only complicated by general national background trends but also by the requirements of the graduate level for systemic intellectual independence (Hofer &amp; Pintrich, 1997; Perry, 1999) and by the disciplinary practices of each field which determine the ways of knowledge validation and communication (Hofer &amp; Pintrich, 1997).</w:t>
      </w:r>
    </w:p>
    <w:p w14:paraId="2B21A62D"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In shared multicultural classrooms, students are constantly interacting with different peer groups and different teachers, which means that they must constantly deal with the challenge of comprehending complex academic language and norms for interacting in the classroom. Thus, metacognitive awareness functions as a necessary instrument that can help internationalized learners constantly monitor, adjust and modify their learning strategies when the contexts keep changing (Al-Nofaie, 2022; García et al., 2021; Vygotsky, 1978). </w:t>
      </w:r>
    </w:p>
    <w:p w14:paraId="391EF45A" w14:textId="77777777" w:rsidR="002F3B2B" w:rsidRPr="009B13F9" w:rsidRDefault="002F3B2B" w:rsidP="009B13F9">
      <w:pPr>
        <w:spacing w:line="480" w:lineRule="auto"/>
        <w:rPr>
          <w:rFonts w:ascii="Times New Roman" w:eastAsia="Times New Roman" w:hAnsi="Times New Roman" w:cs="Times New Roman"/>
          <w:b/>
          <w:bCs/>
          <w:sz w:val="24"/>
          <w:szCs w:val="24"/>
        </w:rPr>
      </w:pPr>
      <w:bookmarkStart w:id="34" w:name="_rhoy06oihua" w:colFirst="0" w:colLast="0"/>
      <w:bookmarkEnd w:id="34"/>
      <w:r w:rsidRPr="009B13F9">
        <w:rPr>
          <w:rFonts w:ascii="Times New Roman" w:eastAsia="Times New Roman" w:hAnsi="Times New Roman" w:cs="Times New Roman"/>
          <w:b/>
          <w:bCs/>
          <w:sz w:val="24"/>
          <w:szCs w:val="24"/>
        </w:rPr>
        <w:br w:type="page"/>
      </w:r>
    </w:p>
    <w:p w14:paraId="44F0E8E2" w14:textId="5154B134"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35" w:name="_Toc235800179"/>
      <w:r w:rsidRPr="009B13F9">
        <w:rPr>
          <w:rFonts w:ascii="Times New Roman" w:eastAsia="Times New Roman" w:hAnsi="Times New Roman" w:cs="Times New Roman"/>
          <w:b/>
          <w:bCs/>
          <w:sz w:val="24"/>
          <w:szCs w:val="24"/>
        </w:rPr>
        <w:lastRenderedPageBreak/>
        <w:t>2.7 Research Gap</w:t>
      </w:r>
      <w:bookmarkEnd w:id="35"/>
    </w:p>
    <w:p w14:paraId="69230C74"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literature gathered shows that metacognition is a crucial factor in the ability of higher education students to self-regulate, monitor understanding and adjust to demanding tasks (Flavell, 1979; Schraw &amp; Dennison, 1994). This foundational knowledge has been complemented by sociocultural, epistemological and culturally responsive studies that have revealed the strong influence of social interactions, belief structures and cultural identities on cognitive self-regulation (Brycz et al., 2015; Fleming et al., 2018; Vygotsky, 1978).</w:t>
      </w:r>
    </w:p>
    <w:p w14:paraId="00A19CA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But there's a big hole in the middle. Most cross-cultural studies either examine the use of a single cognitive strategy or make general and far-reaching comparisons between different countries (Brycz et al., 2015; Fleming et al., 2018). Little research has been conducted that explores how students from different national, linguistic and educational background traditions actively negotiate and reconstruct their metacognitive strategies when learning together in the same shared multicultural classroom space.</w:t>
      </w:r>
    </w:p>
    <w:p w14:paraId="530281D6"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is an empirical gap that is found in the case of internationalized institutions in the Global South providing services to female postgraduate scholars from historically marginalized, refugee and/or conflict affected regions. This study directly responds to this gap by capturing in real time, the reflections and lived experiences of students in an international, multicultural MA in Education program, in a qualitative fashion. </w:t>
      </w:r>
    </w:p>
    <w:p w14:paraId="223BD52C"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sz w:val="24"/>
          <w:szCs w:val="24"/>
        </w:rPr>
      </w:pPr>
      <w:bookmarkStart w:id="36" w:name="_8frxhf4l6ot8" w:colFirst="0" w:colLast="0"/>
      <w:bookmarkStart w:id="37" w:name="_Toc235800180"/>
      <w:bookmarkEnd w:id="36"/>
      <w:r w:rsidRPr="009B13F9">
        <w:rPr>
          <w:rFonts w:ascii="Times New Roman" w:eastAsia="Times New Roman" w:hAnsi="Times New Roman" w:cs="Times New Roman"/>
          <w:b/>
          <w:bCs/>
          <w:sz w:val="24"/>
          <w:szCs w:val="24"/>
        </w:rPr>
        <w:t>2.8 Conceptual Framework</w:t>
      </w:r>
      <w:bookmarkEnd w:id="37"/>
    </w:p>
    <w:p w14:paraId="6C6DC389"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study adopts an integrated conceptual framework that integrates the cognitive, sociocultural, epistemological and pedagogical aspects of learning to explore how postgraduate scholars negotiate their learning processes in a diverse academic context.</w:t>
      </w:r>
    </w:p>
    <w:p w14:paraId="49F354B5"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lastRenderedPageBreak/>
        <w:t>Cognitive Dimension:</w:t>
      </w:r>
      <w:r w:rsidRPr="009B13F9">
        <w:rPr>
          <w:rFonts w:ascii="Times New Roman" w:eastAsia="Times New Roman" w:hAnsi="Times New Roman" w:cs="Times New Roman"/>
          <w:sz w:val="24"/>
          <w:szCs w:val="24"/>
        </w:rPr>
        <w:t xml:space="preserve"> Flavell's (1979) metacognition theory gives the basic terms for the explicit awareness of thinking that students show in the three fundamental processes of planning, monitoring comprehension and evaluating task outcomes.</w:t>
      </w:r>
    </w:p>
    <w:p w14:paraId="17057A00"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Sociocultural Dimension:</w:t>
      </w:r>
      <w:r w:rsidRPr="009B13F9">
        <w:rPr>
          <w:rFonts w:ascii="Times New Roman" w:eastAsia="Times New Roman" w:hAnsi="Times New Roman" w:cs="Times New Roman"/>
          <w:sz w:val="24"/>
          <w:szCs w:val="24"/>
        </w:rPr>
        <w:t xml:space="preserve"> Vygotsky's (1978) sociocultural framework is used as a lens to investigate how these strategies are socially mediated and shared during peer interaction, academic discussions, and cultural and technological resources like generative AI platforms.</w:t>
      </w:r>
    </w:p>
    <w:p w14:paraId="48260819"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Epistemological Dimension:</w:t>
      </w:r>
      <w:r w:rsidRPr="009B13F9">
        <w:rPr>
          <w:rFonts w:ascii="Times New Roman" w:eastAsia="Times New Roman" w:hAnsi="Times New Roman" w:cs="Times New Roman"/>
          <w:sz w:val="24"/>
          <w:szCs w:val="24"/>
        </w:rPr>
        <w:t xml:space="preserve"> Perry (1999) and Hofer and Pintrich (1997) have provided frameworks for mapping the intellectual development of students in terms of how their assumptions change from authority-based, univocal conceptions of truth to contextual, pluralistic conceptions of knowledge as a result of their experiences with multiple perspectives.</w:t>
      </w:r>
    </w:p>
    <w:p w14:paraId="76118676"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Pedagogical Dimension:</w:t>
      </w:r>
      <w:r w:rsidRPr="009B13F9">
        <w:rPr>
          <w:rFonts w:ascii="Times New Roman" w:eastAsia="Times New Roman" w:hAnsi="Times New Roman" w:cs="Times New Roman"/>
          <w:sz w:val="24"/>
          <w:szCs w:val="24"/>
        </w:rPr>
        <w:t xml:space="preserve"> Culturally responsive and sustaining pedagogical frameworks of Gay (2010), Ladson-Billings (1995) and Paris (2012) assess how the classroom context validates, affirms and leverages students' prior experiences and cultural identities as active assets for self-regulation.</w:t>
      </w:r>
    </w:p>
    <w:p w14:paraId="196065D7"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framework combines these separate domains and considers metacognitive regulation as a dynamic, socially distributed and culturally situated practice. It directs the empirical study of the way in which various graduate students constantly assess, renegotiate and rework their learning approaches in the context of an international university community. </w:t>
      </w:r>
    </w:p>
    <w:p w14:paraId="1CBCE1E0" w14:textId="77777777" w:rsidR="002F3B2B" w:rsidRPr="009B13F9" w:rsidRDefault="002F3B2B" w:rsidP="009B13F9">
      <w:pPr>
        <w:spacing w:line="480" w:lineRule="auto"/>
        <w:rPr>
          <w:rFonts w:ascii="Times New Roman" w:eastAsia="Times New Roman" w:hAnsi="Times New Roman" w:cs="Times New Roman"/>
          <w:b/>
          <w:bCs/>
          <w:sz w:val="24"/>
          <w:szCs w:val="24"/>
        </w:rPr>
      </w:pPr>
      <w:bookmarkStart w:id="38" w:name="_465hqnp33h3d" w:colFirst="0" w:colLast="0"/>
      <w:bookmarkEnd w:id="38"/>
      <w:r w:rsidRPr="009B13F9">
        <w:rPr>
          <w:rFonts w:ascii="Times New Roman" w:eastAsia="Times New Roman" w:hAnsi="Times New Roman" w:cs="Times New Roman"/>
          <w:b/>
          <w:bCs/>
          <w:sz w:val="24"/>
          <w:szCs w:val="24"/>
        </w:rPr>
        <w:br w:type="page"/>
      </w:r>
    </w:p>
    <w:p w14:paraId="222F9E15" w14:textId="73910014" w:rsidR="003D5428" w:rsidRPr="009B13F9" w:rsidRDefault="00000000" w:rsidP="004D6F3B">
      <w:pPr>
        <w:pStyle w:val="Heading1"/>
        <w:keepNext w:val="0"/>
        <w:keepLines w:val="0"/>
        <w:spacing w:before="480" w:line="480" w:lineRule="auto"/>
        <w:jc w:val="center"/>
        <w:rPr>
          <w:rFonts w:ascii="Times New Roman" w:eastAsia="Times New Roman" w:hAnsi="Times New Roman" w:cs="Times New Roman"/>
          <w:b/>
          <w:bCs/>
          <w:sz w:val="24"/>
          <w:szCs w:val="24"/>
        </w:rPr>
      </w:pPr>
      <w:bookmarkStart w:id="39" w:name="_Toc235800181"/>
      <w:r w:rsidRPr="009B13F9">
        <w:rPr>
          <w:rFonts w:ascii="Times New Roman" w:eastAsia="Times New Roman" w:hAnsi="Times New Roman" w:cs="Times New Roman"/>
          <w:b/>
          <w:bCs/>
          <w:sz w:val="24"/>
          <w:szCs w:val="24"/>
        </w:rPr>
        <w:lastRenderedPageBreak/>
        <w:t>3. Methodology</w:t>
      </w:r>
      <w:bookmarkEnd w:id="39"/>
    </w:p>
    <w:p w14:paraId="17D04F38"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40" w:name="_cbe8ogvnu1h2" w:colFirst="0" w:colLast="0"/>
      <w:bookmarkStart w:id="41" w:name="_Toc235800182"/>
      <w:bookmarkEnd w:id="40"/>
      <w:r w:rsidRPr="009B13F9">
        <w:rPr>
          <w:rFonts w:ascii="Times New Roman" w:eastAsia="Times New Roman" w:hAnsi="Times New Roman" w:cs="Times New Roman"/>
          <w:b/>
          <w:bCs/>
          <w:sz w:val="24"/>
          <w:szCs w:val="24"/>
        </w:rPr>
        <w:t>3.1 Introduction</w:t>
      </w:r>
      <w:bookmarkEnd w:id="41"/>
    </w:p>
    <w:p w14:paraId="2D7BC4AD" w14:textId="06ED3B85"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chapter describes the qualitative research methodology employed to explore the negotiation and transformation of female postgraduate students from different national and educational backgrounds of their metacognitive learning strategies in a multicultural Master of Arts in Education program. The study examines how these learners plan, monitor, evaluate and adjust their study flows in a seminar-based graduate environment, as situated practices.</w:t>
      </w:r>
    </w:p>
    <w:p w14:paraId="0034F69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study is based on an interpretivist paradigm and a social constructivist perspective in which learning strategies are considered as socially co-constructed practices instead of universal and static cognitive traits (Creswell &amp; Poth, 2018; Merriam &amp; Tisdell, 2016). This inquiry is a single case study design (Yin, 2018) embedded in the data that provides a dense qualitative description of different academic cohorts and national backgrounds. Multiple qualitative strands were used to collect data, namely semi-structured interviews, photovoice submissions and a focus group discussion, thus achieving methodological triangulation. The study's paradigm, design framework, setting characteristics, participant criteria, data collection methods, analytical steps, reflexivity limits and ethical protocols are described in the following sections. </w:t>
      </w:r>
    </w:p>
    <w:p w14:paraId="0AE3EABA"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42" w:name="_f92wdynwydok" w:colFirst="0" w:colLast="0"/>
      <w:bookmarkStart w:id="43" w:name="_Toc235800183"/>
      <w:bookmarkEnd w:id="42"/>
      <w:r w:rsidRPr="009B13F9">
        <w:rPr>
          <w:rFonts w:ascii="Times New Roman" w:eastAsia="Times New Roman" w:hAnsi="Times New Roman" w:cs="Times New Roman"/>
          <w:b/>
          <w:bCs/>
          <w:sz w:val="24"/>
          <w:szCs w:val="24"/>
        </w:rPr>
        <w:t>3.2 Research Paradigm</w:t>
      </w:r>
      <w:bookmarkEnd w:id="43"/>
    </w:p>
    <w:p w14:paraId="64B09113"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study falls under the interpretivist paradigm and has a social constructivist worldview. This philosophical matrix is in line with the purpose of the study. The research does not try to measure metacognitive strategies by using universal objective inventories but to understand how each learner builds personal meaning from their experiences in an unfamiliar academic context (Crotty, 1998; Schwandt, 2014). Interpretivism acknowledges that reality is </w:t>
      </w:r>
      <w:r w:rsidRPr="009B13F9">
        <w:rPr>
          <w:rFonts w:ascii="Times New Roman" w:eastAsia="Times New Roman" w:hAnsi="Times New Roman" w:cs="Times New Roman"/>
          <w:sz w:val="24"/>
          <w:szCs w:val="24"/>
        </w:rPr>
        <w:lastRenderedPageBreak/>
        <w:t>socially negotiated, and that learners develop different ways of regulating their studies as they draw on their life experiences and cultural contexts (Merriam &amp; Tisdell, 2016).</w:t>
      </w:r>
    </w:p>
    <w:p w14:paraId="64BA7443" w14:textId="6F72D230"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To complement this view, social constructivism emphasizes that cognitive development is the result of social interaction, language use and collaboration in a community of practice, not in an isolated </w:t>
      </w:r>
      <w:r w:rsidR="00C25F99" w:rsidRPr="009B13F9">
        <w:rPr>
          <w:rFonts w:ascii="Times New Roman" w:eastAsia="Times New Roman" w:hAnsi="Times New Roman" w:cs="Times New Roman"/>
          <w:sz w:val="24"/>
          <w:szCs w:val="24"/>
        </w:rPr>
        <w:t>mind (</w:t>
      </w:r>
      <w:r w:rsidRPr="009B13F9">
        <w:rPr>
          <w:rFonts w:ascii="Times New Roman" w:eastAsia="Times New Roman" w:hAnsi="Times New Roman" w:cs="Times New Roman"/>
          <w:sz w:val="24"/>
          <w:szCs w:val="24"/>
        </w:rPr>
        <w:t>Creswell &amp; Poth, 2018; Vygotsky, 1978). Socially mediated metacognitive self-awareness is understood here as a process in which peer dialogue and institutional expectations trigger strategic adaptation.</w:t>
      </w:r>
    </w:p>
    <w:p w14:paraId="600B0E3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Furthermore, this framework can be used to explore other conceptions of learning, non-Western and collectivist, which go beyond individualistic conceptions (Berger &amp; Luckmann, 1966). The researcher's positionality is insider, as she is a part of the same academic program (Chavez, 2008). This shared status needs continuous analytical reflexivity to preserve credibility and transparently balance participant accounts with researcher interpretations (Merriam &amp; Tisdell, 2016).</w:t>
      </w:r>
    </w:p>
    <w:p w14:paraId="232E73E9"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44" w:name="_opc157nzp1im" w:colFirst="0" w:colLast="0"/>
      <w:bookmarkStart w:id="45" w:name="_Toc235800184"/>
      <w:bookmarkEnd w:id="44"/>
      <w:r w:rsidRPr="009B13F9">
        <w:rPr>
          <w:rFonts w:ascii="Times New Roman" w:eastAsia="Times New Roman" w:hAnsi="Times New Roman" w:cs="Times New Roman"/>
          <w:b/>
          <w:bCs/>
          <w:sz w:val="24"/>
          <w:szCs w:val="24"/>
        </w:rPr>
        <w:t>3.3 Research Design</w:t>
      </w:r>
      <w:bookmarkEnd w:id="45"/>
    </w:p>
    <w:p w14:paraId="48217022" w14:textId="2B349508"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research design used in this study is qualitative and a single case study with an embedded approach as suggested by Yin (2018). Case study research is appropriate for investigating social phenomena in their </w:t>
      </w:r>
      <w:r w:rsidR="00057B78" w:rsidRPr="009B13F9">
        <w:rPr>
          <w:rFonts w:ascii="Times New Roman" w:eastAsia="Times New Roman" w:hAnsi="Times New Roman" w:cs="Times New Roman"/>
          <w:sz w:val="24"/>
          <w:szCs w:val="24"/>
        </w:rPr>
        <w:t>real-life</w:t>
      </w:r>
      <w:r w:rsidRPr="009B13F9">
        <w:rPr>
          <w:rFonts w:ascii="Times New Roman" w:eastAsia="Times New Roman" w:hAnsi="Times New Roman" w:cs="Times New Roman"/>
          <w:sz w:val="24"/>
          <w:szCs w:val="24"/>
        </w:rPr>
        <w:t xml:space="preserve"> context and is suited for studying contemporary phenomena (Yin, 2018). The bounded case is the one multicultural MA in Education program in an international university in </w:t>
      </w:r>
      <w:r w:rsidR="006931CE">
        <w:rPr>
          <w:rFonts w:ascii="Times New Roman" w:eastAsia="Times New Roman" w:hAnsi="Times New Roman" w:cs="Times New Roman"/>
          <w:sz w:val="24"/>
          <w:szCs w:val="24"/>
        </w:rPr>
        <w:t xml:space="preserve">Chattogram, </w:t>
      </w:r>
      <w:r w:rsidRPr="009B13F9">
        <w:rPr>
          <w:rFonts w:ascii="Times New Roman" w:eastAsia="Times New Roman" w:hAnsi="Times New Roman" w:cs="Times New Roman"/>
          <w:sz w:val="24"/>
          <w:szCs w:val="24"/>
        </w:rPr>
        <w:t>Bangladesh that has a very diverse student body, providing an information-rich context.</w:t>
      </w:r>
    </w:p>
    <w:p w14:paraId="45D7B4EC"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single case study is analyzed through an embedded case study design (Type 2) to identify any variation within the case and to trace the strategic changes at various academic levels and contexts (Yin, 2018). The units of analysis are embedded in the following:</w:t>
      </w:r>
    </w:p>
    <w:p w14:paraId="7F44A323" w14:textId="77777777" w:rsidR="003D5428" w:rsidRPr="009B13F9" w:rsidRDefault="00000000" w:rsidP="009B13F9">
      <w:pPr>
        <w:numPr>
          <w:ilvl w:val="0"/>
          <w:numId w:val="11"/>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lastRenderedPageBreak/>
        <w:t>1st year MA (Education) students</w:t>
      </w:r>
    </w:p>
    <w:p w14:paraId="07337B04" w14:textId="533DABCB" w:rsidR="003D5428" w:rsidRPr="009B13F9" w:rsidRDefault="00000000" w:rsidP="009B13F9">
      <w:pPr>
        <w:numPr>
          <w:ilvl w:val="0"/>
          <w:numId w:val="11"/>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Students in the second year of MA in Education</w:t>
      </w:r>
    </w:p>
    <w:p w14:paraId="5D030152" w14:textId="77777777" w:rsidR="003D5428" w:rsidRPr="009B13F9" w:rsidRDefault="00000000" w:rsidP="009B13F9">
      <w:pPr>
        <w:numPr>
          <w:ilvl w:val="0"/>
          <w:numId w:val="11"/>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Students with different national and educational backgrounds (e.g. Bangladeshi, Afghan, Rohingya and Timorese students).</w:t>
      </w:r>
    </w:p>
    <w:p w14:paraId="5756A1D2" w14:textId="18000DB2"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Data triangulation is done by using three different qualitative methods: individual semi-structured interviews, photovoice submissions and focus group discussion (Creswell &amp; Poth, 2018). The use of multiple methods ensures that the individual stories, private spatial products and group peer interactions are </w:t>
      </w:r>
      <w:r w:rsidR="00695684" w:rsidRPr="009B13F9">
        <w:rPr>
          <w:rFonts w:ascii="Times New Roman" w:eastAsia="Times New Roman" w:hAnsi="Times New Roman" w:cs="Times New Roman"/>
          <w:sz w:val="24"/>
          <w:szCs w:val="24"/>
        </w:rPr>
        <w:t>analyzed</w:t>
      </w:r>
      <w:r w:rsidRPr="009B13F9">
        <w:rPr>
          <w:rFonts w:ascii="Times New Roman" w:eastAsia="Times New Roman" w:hAnsi="Times New Roman" w:cs="Times New Roman"/>
          <w:sz w:val="24"/>
          <w:szCs w:val="24"/>
        </w:rPr>
        <w:t xml:space="preserve"> in a way that enables a fuller picture of the case to be drawn without attempting to make statistical </w:t>
      </w:r>
      <w:r w:rsidR="00695684" w:rsidRPr="009B13F9">
        <w:rPr>
          <w:rFonts w:ascii="Times New Roman" w:eastAsia="Times New Roman" w:hAnsi="Times New Roman" w:cs="Times New Roman"/>
          <w:sz w:val="24"/>
          <w:szCs w:val="24"/>
        </w:rPr>
        <w:t>generalizations</w:t>
      </w:r>
      <w:r w:rsidRPr="009B13F9">
        <w:rPr>
          <w:rFonts w:ascii="Times New Roman" w:eastAsia="Times New Roman" w:hAnsi="Times New Roman" w:cs="Times New Roman"/>
          <w:sz w:val="24"/>
          <w:szCs w:val="24"/>
        </w:rPr>
        <w:t xml:space="preserve">. </w:t>
      </w:r>
    </w:p>
    <w:p w14:paraId="318AD8DF"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46" w:name="_440nsf9qqep1" w:colFirst="0" w:colLast="0"/>
      <w:bookmarkStart w:id="47" w:name="_Toc235800185"/>
      <w:bookmarkEnd w:id="46"/>
      <w:r w:rsidRPr="009B13F9">
        <w:rPr>
          <w:rFonts w:ascii="Times New Roman" w:eastAsia="Times New Roman" w:hAnsi="Times New Roman" w:cs="Times New Roman"/>
          <w:b/>
          <w:bCs/>
          <w:sz w:val="24"/>
          <w:szCs w:val="24"/>
        </w:rPr>
        <w:t>3.4 Research Site and Context</w:t>
      </w:r>
      <w:bookmarkEnd w:id="47"/>
    </w:p>
    <w:p w14:paraId="36AEA5D9" w14:textId="49F24484"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study site is the Masters of Arts in Education at an international women-</w:t>
      </w:r>
      <w:r w:rsidR="00695684" w:rsidRPr="009B13F9">
        <w:rPr>
          <w:rFonts w:ascii="Times New Roman" w:eastAsia="Times New Roman" w:hAnsi="Times New Roman" w:cs="Times New Roman"/>
          <w:sz w:val="24"/>
          <w:szCs w:val="24"/>
        </w:rPr>
        <w:t>centered</w:t>
      </w:r>
      <w:r w:rsidRPr="009B13F9">
        <w:rPr>
          <w:rFonts w:ascii="Times New Roman" w:eastAsia="Times New Roman" w:hAnsi="Times New Roman" w:cs="Times New Roman"/>
          <w:sz w:val="24"/>
          <w:szCs w:val="24"/>
        </w:rPr>
        <w:t xml:space="preserve"> university in Chattogram, Bangladesh. To maintain confidentiality, the names of institutions are anonymized. The university intentionally seeks out women from across Asia and the Global South, including Bangladesh, Afghanistan, Myanmar, Timor-Leste and regional refugee communities, many of whom have undergone systemic educational transitions, linguistic shifts or political conflict.</w:t>
      </w:r>
    </w:p>
    <w:p w14:paraId="651D5091" w14:textId="527ABDED"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MA in Education program had 5</w:t>
      </w:r>
      <w:r w:rsidR="005269A6" w:rsidRPr="009B13F9">
        <w:rPr>
          <w:rFonts w:ascii="Times New Roman" w:eastAsia="Times New Roman" w:hAnsi="Times New Roman" w:cs="Times New Roman"/>
          <w:sz w:val="24"/>
          <w:szCs w:val="24"/>
        </w:rPr>
        <w:t>3</w:t>
      </w:r>
      <w:r w:rsidRPr="009B13F9">
        <w:rPr>
          <w:rFonts w:ascii="Times New Roman" w:eastAsia="Times New Roman" w:hAnsi="Times New Roman" w:cs="Times New Roman"/>
          <w:sz w:val="24"/>
          <w:szCs w:val="24"/>
        </w:rPr>
        <w:t xml:space="preserve"> students enrolled in two cohorts (27 in the first and 2</w:t>
      </w:r>
      <w:r w:rsidR="005269A6" w:rsidRPr="009B13F9">
        <w:rPr>
          <w:rFonts w:ascii="Times New Roman" w:eastAsia="Times New Roman" w:hAnsi="Times New Roman" w:cs="Times New Roman"/>
          <w:sz w:val="24"/>
          <w:szCs w:val="24"/>
        </w:rPr>
        <w:t>6</w:t>
      </w:r>
      <w:r w:rsidRPr="009B13F9">
        <w:rPr>
          <w:rFonts w:ascii="Times New Roman" w:eastAsia="Times New Roman" w:hAnsi="Times New Roman" w:cs="Times New Roman"/>
          <w:sz w:val="24"/>
          <w:szCs w:val="24"/>
        </w:rPr>
        <w:t xml:space="preserve"> in the second) during the data collection period. Participants came with a wide variety of educational backgrounds from government, private, international, religious and non-formal refugee education systems in Asia. Their teacher-centered and examination-oriented backgrounds are the primary influence on their foundational education, but the graduate program asks them to immediately start their student-centered and discussion-based education. This </w:t>
      </w:r>
      <w:r w:rsidRPr="009B13F9">
        <w:rPr>
          <w:rFonts w:ascii="Times New Roman" w:eastAsia="Times New Roman" w:hAnsi="Times New Roman" w:cs="Times New Roman"/>
          <w:sz w:val="24"/>
          <w:szCs w:val="24"/>
        </w:rPr>
        <w:lastRenderedPageBreak/>
        <w:t>systemic change provides an ideal context for examining the negotiation and transformation of metacognitive strategies in the context of the transitions of major academic change.</w:t>
      </w:r>
    </w:p>
    <w:p w14:paraId="30A8C99B"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48" w:name="_q6yp7axbtrjp" w:colFirst="0" w:colLast="0"/>
      <w:bookmarkStart w:id="49" w:name="_Toc235800186"/>
      <w:bookmarkEnd w:id="48"/>
      <w:r w:rsidRPr="009B13F9">
        <w:rPr>
          <w:rFonts w:ascii="Times New Roman" w:eastAsia="Times New Roman" w:hAnsi="Times New Roman" w:cs="Times New Roman"/>
          <w:b/>
          <w:bCs/>
          <w:sz w:val="24"/>
          <w:szCs w:val="24"/>
        </w:rPr>
        <w:t>3.5 Participant Selection and Sampling Strategy</w:t>
      </w:r>
      <w:bookmarkEnd w:id="49"/>
    </w:p>
    <w:p w14:paraId="564B0D9C"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 this study, the researcher employed purposive sampling in selecting the respondents who would be able to give rich, relevant and diverse information on metacognitive transformation (Merriam &amp; Tisdell, 2016; Patton, 2015). The inclusion criteria included being an enrolled student in the MA in Education program, having first-hand experience with the multicultural learning environment, and willing to participate.</w:t>
      </w:r>
    </w:p>
    <w:p w14:paraId="1855EC65" w14:textId="51D287F5"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Invitations to participate in the recruitment were sent through institutional e-mail and cohort communication groups. A final sample of 13 students completed the individual interview phase and seven of these completed the photovoice activity. There were three active participants in the focus group discussion, and one student who was able to give written input to</w:t>
      </w:r>
      <w:r w:rsidR="006931CE">
        <w:rPr>
          <w:rFonts w:ascii="Times New Roman" w:eastAsia="Times New Roman" w:hAnsi="Times New Roman" w:cs="Times New Roman"/>
          <w:sz w:val="24"/>
          <w:szCs w:val="24"/>
        </w:rPr>
        <w:t xml:space="preserve"> the FGD prompts for </w:t>
      </w:r>
      <w:r w:rsidRPr="009B13F9">
        <w:rPr>
          <w:rFonts w:ascii="Times New Roman" w:eastAsia="Times New Roman" w:hAnsi="Times New Roman" w:cs="Times New Roman"/>
          <w:sz w:val="24"/>
          <w:szCs w:val="24"/>
        </w:rPr>
        <w:t>the technical problems as they arose. The interview participants’ demographic information, photovoice participant demographics and focus group participation demographics are shared in Table A1, A2 and A3 respectively</w:t>
      </w:r>
      <w:r w:rsidR="006A718F">
        <w:rPr>
          <w:rFonts w:ascii="Times New Roman" w:eastAsia="Times New Roman" w:hAnsi="Times New Roman" w:cs="Times New Roman"/>
          <w:sz w:val="24"/>
          <w:szCs w:val="24"/>
        </w:rPr>
        <w:t xml:space="preserve"> in Appendix A</w:t>
      </w:r>
      <w:r w:rsidRPr="009B13F9">
        <w:rPr>
          <w:rFonts w:ascii="Times New Roman" w:eastAsia="Times New Roman" w:hAnsi="Times New Roman" w:cs="Times New Roman"/>
          <w:sz w:val="24"/>
          <w:szCs w:val="24"/>
        </w:rPr>
        <w:t xml:space="preserve">. </w:t>
      </w:r>
    </w:p>
    <w:p w14:paraId="335AA68C"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50" w:name="_kshf4j3752nu" w:colFirst="0" w:colLast="0"/>
      <w:bookmarkStart w:id="51" w:name="_Toc235800187"/>
      <w:bookmarkEnd w:id="50"/>
      <w:r w:rsidRPr="009B13F9">
        <w:rPr>
          <w:rFonts w:ascii="Times New Roman" w:eastAsia="Times New Roman" w:hAnsi="Times New Roman" w:cs="Times New Roman"/>
          <w:b/>
          <w:bCs/>
          <w:sz w:val="24"/>
          <w:szCs w:val="24"/>
        </w:rPr>
        <w:t>3.6 Data Collection Methods</w:t>
      </w:r>
      <w:bookmarkEnd w:id="51"/>
    </w:p>
    <w:p w14:paraId="37B42A1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data was collected from April to May 2026 in the English language (the main language of instruction). Three data collection strands were used, which led to methodological triangulation (Creswell &amp; Poth, 2018; Yin, 2018). </w:t>
      </w:r>
    </w:p>
    <w:p w14:paraId="3AB75748" w14:textId="77777777" w:rsidR="002F3B2B" w:rsidRPr="009B13F9" w:rsidRDefault="002F3B2B" w:rsidP="009B13F9">
      <w:pPr>
        <w:spacing w:line="480" w:lineRule="auto"/>
        <w:rPr>
          <w:rFonts w:ascii="Times New Roman" w:eastAsia="Times New Roman" w:hAnsi="Times New Roman" w:cs="Times New Roman"/>
          <w:b/>
          <w:bCs/>
          <w:color w:val="000000"/>
          <w:sz w:val="24"/>
          <w:szCs w:val="24"/>
        </w:rPr>
      </w:pPr>
      <w:bookmarkStart w:id="52" w:name="_yjqs5r4nxyz" w:colFirst="0" w:colLast="0"/>
      <w:bookmarkEnd w:id="52"/>
      <w:r w:rsidRPr="009B13F9">
        <w:rPr>
          <w:rFonts w:ascii="Times New Roman" w:eastAsia="Times New Roman" w:hAnsi="Times New Roman" w:cs="Times New Roman"/>
          <w:b/>
          <w:bCs/>
          <w:color w:val="000000"/>
          <w:sz w:val="24"/>
          <w:szCs w:val="24"/>
        </w:rPr>
        <w:br w:type="page"/>
      </w:r>
    </w:p>
    <w:p w14:paraId="15C091E6" w14:textId="1532035A" w:rsidR="003D5428" w:rsidRPr="009B13F9" w:rsidRDefault="00000000" w:rsidP="009B13F9">
      <w:pPr>
        <w:pStyle w:val="Heading3"/>
        <w:keepNext w:val="0"/>
        <w:keepLines w:val="0"/>
        <w:spacing w:before="280" w:line="480" w:lineRule="auto"/>
        <w:rPr>
          <w:rFonts w:ascii="Times New Roman" w:eastAsia="Times New Roman" w:hAnsi="Times New Roman" w:cs="Times New Roman"/>
          <w:b/>
          <w:bCs/>
          <w:color w:val="000000"/>
          <w:sz w:val="24"/>
          <w:szCs w:val="24"/>
        </w:rPr>
      </w:pPr>
      <w:bookmarkStart w:id="53" w:name="_Toc235800188"/>
      <w:r w:rsidRPr="009B13F9">
        <w:rPr>
          <w:rFonts w:ascii="Times New Roman" w:eastAsia="Times New Roman" w:hAnsi="Times New Roman" w:cs="Times New Roman"/>
          <w:b/>
          <w:bCs/>
          <w:color w:val="000000"/>
          <w:sz w:val="24"/>
          <w:szCs w:val="24"/>
        </w:rPr>
        <w:lastRenderedPageBreak/>
        <w:t>3.6.1 Semi-Structured Interviews</w:t>
      </w:r>
      <w:bookmarkEnd w:id="53"/>
    </w:p>
    <w:p w14:paraId="17A9E598"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main data source was individual semi-structured interviews that provided rich personal descriptions of learning histories and self-regulated practices (Kvale &amp; Brinkmann, 2015). A total of 13 students (4 first year and 9 second year) were involved. Interviews were conducted for 30-60 minutes and recorded on audio tape with the participant's permission and transcribed verbatim. </w:t>
      </w:r>
    </w:p>
    <w:p w14:paraId="6BD9C52B"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b/>
          <w:bCs/>
          <w:color w:val="000000"/>
          <w:sz w:val="24"/>
          <w:szCs w:val="24"/>
        </w:rPr>
      </w:pPr>
      <w:bookmarkStart w:id="54" w:name="_w14n21gefw32" w:colFirst="0" w:colLast="0"/>
      <w:bookmarkStart w:id="55" w:name="_Toc235800189"/>
      <w:bookmarkEnd w:id="54"/>
      <w:r w:rsidRPr="009B13F9">
        <w:rPr>
          <w:rFonts w:ascii="Times New Roman" w:eastAsia="Times New Roman" w:hAnsi="Times New Roman" w:cs="Times New Roman"/>
          <w:b/>
          <w:bCs/>
          <w:color w:val="000000"/>
          <w:sz w:val="24"/>
          <w:szCs w:val="24"/>
        </w:rPr>
        <w:t>3.6.2 Photovoice</w:t>
      </w:r>
      <w:bookmarkEnd w:id="55"/>
    </w:p>
    <w:p w14:paraId="1C6DF15E" w14:textId="395602CB"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Photovoice was employed as a participatory visual research tool to document the private learning spaces and study artifacts that are not usually visible to researchers (Wang &amp; Burris, 1997). Seven participants provided personal photos of their workspaces, schedules and learning tools, along with written reflections about how these artifacts reflect their self-regulation strategies and their cultural identities. </w:t>
      </w:r>
      <w:r w:rsidR="00755E18">
        <w:rPr>
          <w:rFonts w:ascii="Times New Roman" w:eastAsia="Times New Roman" w:hAnsi="Times New Roman" w:cs="Times New Roman"/>
          <w:sz w:val="24"/>
          <w:szCs w:val="24"/>
        </w:rPr>
        <w:t>Selective photovoice picture entries are present in Appendix F.</w:t>
      </w:r>
    </w:p>
    <w:p w14:paraId="40D1689B"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b/>
          <w:bCs/>
          <w:color w:val="000000"/>
          <w:sz w:val="24"/>
          <w:szCs w:val="24"/>
        </w:rPr>
      </w:pPr>
      <w:bookmarkStart w:id="56" w:name="_rt03dqofp881" w:colFirst="0" w:colLast="0"/>
      <w:bookmarkStart w:id="57" w:name="_Toc235800190"/>
      <w:bookmarkEnd w:id="56"/>
      <w:r w:rsidRPr="009B13F9">
        <w:rPr>
          <w:rFonts w:ascii="Times New Roman" w:eastAsia="Times New Roman" w:hAnsi="Times New Roman" w:cs="Times New Roman"/>
          <w:b/>
          <w:bCs/>
          <w:color w:val="000000"/>
          <w:sz w:val="24"/>
          <w:szCs w:val="24"/>
        </w:rPr>
        <w:t>3.6.3 Focus Group Discussion</w:t>
      </w:r>
      <w:bookmarkEnd w:id="57"/>
    </w:p>
    <w:p w14:paraId="3CA6EAC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 focus group discussion with second year students was held online to elicit collective meaning-making and peer reflections on their shared learning culture (Morgan, 1997). The discussion was 60 minutes and recorded and transcribed. One participant experienced significant technical problems during the live focus group session and provided detailed written responses to the focus group questions that were added to the data set.</w:t>
      </w:r>
    </w:p>
    <w:p w14:paraId="4F78BB88" w14:textId="77777777" w:rsidR="00755E18" w:rsidRDefault="00755E18">
      <w:pPr>
        <w:rPr>
          <w:rFonts w:ascii="Times New Roman" w:eastAsia="Times New Roman" w:hAnsi="Times New Roman" w:cs="Times New Roman"/>
          <w:b/>
          <w:bCs/>
          <w:sz w:val="24"/>
          <w:szCs w:val="24"/>
        </w:rPr>
      </w:pPr>
      <w:bookmarkStart w:id="58" w:name="_ivosihg2m0c" w:colFirst="0" w:colLast="0"/>
      <w:bookmarkEnd w:id="58"/>
      <w:r>
        <w:rPr>
          <w:rFonts w:ascii="Times New Roman" w:eastAsia="Times New Roman" w:hAnsi="Times New Roman" w:cs="Times New Roman"/>
          <w:b/>
          <w:bCs/>
          <w:sz w:val="24"/>
          <w:szCs w:val="24"/>
        </w:rPr>
        <w:br w:type="page"/>
      </w:r>
    </w:p>
    <w:p w14:paraId="6A88F641" w14:textId="1EA23284"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59" w:name="_Toc235800191"/>
      <w:r w:rsidRPr="009B13F9">
        <w:rPr>
          <w:rFonts w:ascii="Times New Roman" w:eastAsia="Times New Roman" w:hAnsi="Times New Roman" w:cs="Times New Roman"/>
          <w:b/>
          <w:bCs/>
          <w:sz w:val="24"/>
          <w:szCs w:val="24"/>
        </w:rPr>
        <w:lastRenderedPageBreak/>
        <w:t>3.7 Researcher Positionality</w:t>
      </w:r>
      <w:bookmarkEnd w:id="59"/>
    </w:p>
    <w:p w14:paraId="235C1D64" w14:textId="65D272AF"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researcher has an active role in the qualitative interpretation within an interpretivist paradigm, and she makes her positionality explicit (Creswell &amp; Poth, 2018). The researcher's insider status is that of a </w:t>
      </w:r>
      <w:r w:rsidR="007951B5" w:rsidRPr="009B13F9">
        <w:rPr>
          <w:rFonts w:ascii="Times New Roman" w:eastAsia="Times New Roman" w:hAnsi="Times New Roman" w:cs="Times New Roman"/>
          <w:sz w:val="24"/>
          <w:szCs w:val="24"/>
        </w:rPr>
        <w:t>second-year</w:t>
      </w:r>
      <w:r w:rsidRPr="009B13F9">
        <w:rPr>
          <w:rFonts w:ascii="Times New Roman" w:eastAsia="Times New Roman" w:hAnsi="Times New Roman" w:cs="Times New Roman"/>
          <w:sz w:val="24"/>
          <w:szCs w:val="24"/>
        </w:rPr>
        <w:t xml:space="preserve"> student in the same MA in Education program (Chavez, 2008; Dwyer &amp; Buckle, 2009). As an insider positionality, this allowed for unprecedented and direct access to the participant pool and a deep and intuitive understanding of the program's unique academic culture, pedagogical structures, and multicultural learning dynamics, well recognized in qualitative methodology (Dwyer &amp; Buckle, 2009). This gave the researcher privileged access and an insider's perspective on the academic culture, but also necessitated a reflexivity to ensure objective boundaries (Merriam et al., 2001).</w:t>
      </w:r>
    </w:p>
    <w:p w14:paraId="1FE04FE2" w14:textId="20B6920E"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researcher's background is interdisciplinary, from a Bachelor of Science in Biochemistry and Molecular Biology to </w:t>
      </w:r>
      <w:r w:rsidR="0089037E">
        <w:rPr>
          <w:rFonts w:ascii="Times New Roman" w:eastAsia="Times New Roman" w:hAnsi="Times New Roman" w:cs="Times New Roman"/>
          <w:sz w:val="24"/>
          <w:szCs w:val="24"/>
        </w:rPr>
        <w:t>Education</w:t>
      </w:r>
      <w:r w:rsidRPr="009B13F9">
        <w:rPr>
          <w:rFonts w:ascii="Times New Roman" w:eastAsia="Times New Roman" w:hAnsi="Times New Roman" w:cs="Times New Roman"/>
          <w:sz w:val="24"/>
          <w:szCs w:val="24"/>
        </w:rPr>
        <w:t xml:space="preserve">, where a personal interest in strategic learning adaptation was stimulated. Analytical memo taking, voluntary participation, and the use of clear text coding to ensure participant confidentiality were employed to mitigate possible insider biases and power dynamics (Braun &amp; Clarke, 2022). </w:t>
      </w:r>
    </w:p>
    <w:p w14:paraId="7B6560AC"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60" w:name="_u55nqzoa1yvg" w:colFirst="0" w:colLast="0"/>
      <w:bookmarkStart w:id="61" w:name="_Toc235800192"/>
      <w:bookmarkEnd w:id="60"/>
      <w:r w:rsidRPr="009B13F9">
        <w:rPr>
          <w:rFonts w:ascii="Times New Roman" w:eastAsia="Times New Roman" w:hAnsi="Times New Roman" w:cs="Times New Roman"/>
          <w:b/>
          <w:bCs/>
          <w:sz w:val="24"/>
          <w:szCs w:val="24"/>
        </w:rPr>
        <w:t>3.8 Data Analysis Procedures</w:t>
      </w:r>
      <w:bookmarkEnd w:id="61"/>
    </w:p>
    <w:p w14:paraId="7B3AA2F0" w14:textId="183EE361"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Manual reflexive thematic analysis was used to </w:t>
      </w:r>
      <w:r w:rsidR="00D34F0D" w:rsidRPr="009B13F9">
        <w:rPr>
          <w:rFonts w:ascii="Times New Roman" w:eastAsia="Times New Roman" w:hAnsi="Times New Roman" w:cs="Times New Roman"/>
          <w:sz w:val="24"/>
          <w:szCs w:val="24"/>
        </w:rPr>
        <w:t>analyze</w:t>
      </w:r>
      <w:r w:rsidRPr="009B13F9">
        <w:rPr>
          <w:rFonts w:ascii="Times New Roman" w:eastAsia="Times New Roman" w:hAnsi="Times New Roman" w:cs="Times New Roman"/>
          <w:sz w:val="24"/>
          <w:szCs w:val="24"/>
        </w:rPr>
        <w:t xml:space="preserve"> the text (Braun &amp; Clarke, 2006, 2022). The analysis involved five phases:</w:t>
      </w:r>
    </w:p>
    <w:p w14:paraId="1389C627" w14:textId="77777777" w:rsidR="003D5428" w:rsidRPr="009B13F9" w:rsidRDefault="00000000" w:rsidP="009B13F9">
      <w:pPr>
        <w:numPr>
          <w:ilvl w:val="0"/>
          <w:numId w:val="13"/>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Data Familiarization:</w:t>
      </w:r>
      <w:r w:rsidRPr="009B13F9">
        <w:rPr>
          <w:rFonts w:ascii="Times New Roman" w:eastAsia="Times New Roman" w:hAnsi="Times New Roman" w:cs="Times New Roman"/>
          <w:sz w:val="24"/>
          <w:szCs w:val="24"/>
        </w:rPr>
        <w:t xml:space="preserve"> Verbatim transcription of interviews and group transcripts by researcher and reading text reflections and making visual content notes for each image in the photovoice.</w:t>
      </w:r>
    </w:p>
    <w:p w14:paraId="27838E7A" w14:textId="77777777" w:rsidR="003D5428" w:rsidRPr="009B13F9" w:rsidRDefault="00000000" w:rsidP="009B13F9">
      <w:pPr>
        <w:numPr>
          <w:ilvl w:val="0"/>
          <w:numId w:val="13"/>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Initial Coding:</w:t>
      </w:r>
      <w:r w:rsidRPr="009B13F9">
        <w:rPr>
          <w:rFonts w:ascii="Times New Roman" w:eastAsia="Times New Roman" w:hAnsi="Times New Roman" w:cs="Times New Roman"/>
          <w:sz w:val="24"/>
          <w:szCs w:val="24"/>
        </w:rPr>
        <w:t xml:space="preserve"> Manually coding line by line to identify actions, challenges, and self-regulatory habits in the participants' own words.</w:t>
      </w:r>
    </w:p>
    <w:p w14:paraId="7CFD9CA8" w14:textId="77777777" w:rsidR="003D5428" w:rsidRPr="009B13F9" w:rsidRDefault="00000000" w:rsidP="009B13F9">
      <w:pPr>
        <w:numPr>
          <w:ilvl w:val="0"/>
          <w:numId w:val="13"/>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lastRenderedPageBreak/>
        <w:t>Focused Coding:</w:t>
      </w:r>
      <w:r w:rsidRPr="009B13F9">
        <w:rPr>
          <w:rFonts w:ascii="Times New Roman" w:eastAsia="Times New Roman" w:hAnsi="Times New Roman" w:cs="Times New Roman"/>
          <w:sz w:val="24"/>
          <w:szCs w:val="24"/>
        </w:rPr>
        <w:t xml:space="preserve"> To reduce complexity and to combine descriptive phrases into codes that are conceptually oriented, initial codes are compared across the datasets.</w:t>
      </w:r>
    </w:p>
    <w:p w14:paraId="286FDE08" w14:textId="77777777" w:rsidR="003D5428" w:rsidRPr="009B13F9" w:rsidRDefault="00000000" w:rsidP="009B13F9">
      <w:pPr>
        <w:numPr>
          <w:ilvl w:val="0"/>
          <w:numId w:val="13"/>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Category Development:</w:t>
      </w:r>
      <w:r w:rsidRPr="009B13F9">
        <w:rPr>
          <w:rFonts w:ascii="Times New Roman" w:eastAsia="Times New Roman" w:hAnsi="Times New Roman" w:cs="Times New Roman"/>
          <w:sz w:val="24"/>
          <w:szCs w:val="24"/>
        </w:rPr>
        <w:t xml:space="preserve"> Grouping similar codes together into analytical categories to look for patterns in the way participants organized their planning, monitoring and adaptation processes.</w:t>
      </w:r>
    </w:p>
    <w:p w14:paraId="66A59C44" w14:textId="77777777" w:rsidR="003D5428" w:rsidRPr="009B13F9" w:rsidRDefault="00000000" w:rsidP="009B13F9">
      <w:pPr>
        <w:numPr>
          <w:ilvl w:val="0"/>
          <w:numId w:val="13"/>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Theme Generation and Review:</w:t>
      </w:r>
      <w:r w:rsidRPr="009B13F9">
        <w:rPr>
          <w:rFonts w:ascii="Times New Roman" w:eastAsia="Times New Roman" w:hAnsi="Times New Roman" w:cs="Times New Roman"/>
          <w:sz w:val="24"/>
          <w:szCs w:val="24"/>
        </w:rPr>
        <w:t xml:space="preserve"> Generating central themes that conceptualized the relationships between learning strategies, technology use, cultural values and identity transformations. The coded excerpts were constantly compared with original transcripts to achieve internal coherence.</w:t>
      </w:r>
    </w:p>
    <w:p w14:paraId="7A68C1DA"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62" w:name="_vlmn2l6o32gt" w:colFirst="0" w:colLast="0"/>
      <w:bookmarkStart w:id="63" w:name="_Toc235800193"/>
      <w:bookmarkEnd w:id="62"/>
      <w:r w:rsidRPr="009B13F9">
        <w:rPr>
          <w:rFonts w:ascii="Times New Roman" w:eastAsia="Times New Roman" w:hAnsi="Times New Roman" w:cs="Times New Roman"/>
          <w:b/>
          <w:bCs/>
          <w:sz w:val="24"/>
          <w:szCs w:val="24"/>
        </w:rPr>
        <w:t>3.9 Trustworthiness</w:t>
      </w:r>
      <w:bookmarkEnd w:id="63"/>
    </w:p>
    <w:p w14:paraId="1FE1D0A4"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Lincoln and Guba’s (1985) qualitative criteria were used to establish the research rigor:</w:t>
      </w:r>
    </w:p>
    <w:p w14:paraId="350DF494" w14:textId="77777777" w:rsidR="003D5428" w:rsidRPr="009B13F9" w:rsidRDefault="00000000" w:rsidP="009B13F9">
      <w:pPr>
        <w:numPr>
          <w:ilvl w:val="0"/>
          <w:numId w:val="3"/>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Credibility:</w:t>
      </w:r>
      <w:r w:rsidRPr="009B13F9">
        <w:rPr>
          <w:rFonts w:ascii="Times New Roman" w:eastAsia="Times New Roman" w:hAnsi="Times New Roman" w:cs="Times New Roman"/>
          <w:sz w:val="24"/>
          <w:szCs w:val="24"/>
        </w:rPr>
        <w:t xml:space="preserve"> Data triangulation was completed using three different methods, prolonged engagement with the transcripts was completed, and member checking was done throughout the research process (Patton, 2015).</w:t>
      </w:r>
    </w:p>
    <w:p w14:paraId="736C92CD" w14:textId="77777777" w:rsidR="003D5428" w:rsidRPr="009B13F9" w:rsidRDefault="00000000" w:rsidP="009B13F9">
      <w:pPr>
        <w:numPr>
          <w:ilvl w:val="0"/>
          <w:numId w:val="3"/>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Transferability:</w:t>
      </w:r>
      <w:r w:rsidRPr="009B13F9">
        <w:rPr>
          <w:rFonts w:ascii="Times New Roman" w:eastAsia="Times New Roman" w:hAnsi="Times New Roman" w:cs="Times New Roman"/>
          <w:sz w:val="24"/>
          <w:szCs w:val="24"/>
        </w:rPr>
        <w:t xml:space="preserve"> Rich description of the research setting, demographic shifts, and pedagogical contexts were provided to give readers a sense of the applicability of the findings to similar settings (Creswell &amp; Poth, 2018).</w:t>
      </w:r>
    </w:p>
    <w:p w14:paraId="2748B5CA" w14:textId="77777777" w:rsidR="003D5428" w:rsidRPr="009B13F9" w:rsidRDefault="00000000" w:rsidP="009B13F9">
      <w:pPr>
        <w:numPr>
          <w:ilvl w:val="0"/>
          <w:numId w:val="3"/>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Dependability:</w:t>
      </w:r>
      <w:r w:rsidRPr="009B13F9">
        <w:rPr>
          <w:rFonts w:ascii="Times New Roman" w:eastAsia="Times New Roman" w:hAnsi="Times New Roman" w:cs="Times New Roman"/>
          <w:sz w:val="24"/>
          <w:szCs w:val="24"/>
        </w:rPr>
        <w:t xml:space="preserve"> This was ensured by keeping a clear institutional audit trail for all recruitment steps, transcription rules, manual coding decisions and theme revision steps.</w:t>
      </w:r>
    </w:p>
    <w:p w14:paraId="38F8EB27" w14:textId="77777777" w:rsidR="00755E18" w:rsidRPr="00755E18" w:rsidRDefault="00000000" w:rsidP="009B13F9">
      <w:pPr>
        <w:numPr>
          <w:ilvl w:val="0"/>
          <w:numId w:val="3"/>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lastRenderedPageBreak/>
        <w:t>Confirmability:</w:t>
      </w:r>
      <w:r w:rsidRPr="009B13F9">
        <w:rPr>
          <w:rFonts w:ascii="Times New Roman" w:eastAsia="Times New Roman" w:hAnsi="Times New Roman" w:cs="Times New Roman"/>
          <w:sz w:val="24"/>
          <w:szCs w:val="24"/>
        </w:rPr>
        <w:t xml:space="preserve"> This was ensured by continuous reflexive writing to keep a record of personal assumptions and by citing all the themes in direct quotes from the participants (Lincoln &amp; Guba, 1985). </w:t>
      </w:r>
      <w:bookmarkStart w:id="64" w:name="_wzvxexr85e2s" w:colFirst="0" w:colLast="0"/>
      <w:bookmarkStart w:id="65" w:name="_om1j46hucew5" w:colFirst="0" w:colLast="0"/>
      <w:bookmarkEnd w:id="64"/>
      <w:bookmarkEnd w:id="65"/>
    </w:p>
    <w:p w14:paraId="4062029F" w14:textId="77777777" w:rsidR="00755E18" w:rsidRPr="009B13F9" w:rsidRDefault="00755E18" w:rsidP="00755E18">
      <w:pPr>
        <w:pStyle w:val="Heading2"/>
        <w:keepNext w:val="0"/>
        <w:keepLines w:val="0"/>
        <w:spacing w:after="80" w:line="480" w:lineRule="auto"/>
        <w:rPr>
          <w:rFonts w:ascii="Times New Roman" w:eastAsia="Times New Roman" w:hAnsi="Times New Roman" w:cs="Times New Roman"/>
          <w:b/>
          <w:bCs/>
          <w:sz w:val="24"/>
          <w:szCs w:val="24"/>
        </w:rPr>
      </w:pPr>
      <w:bookmarkStart w:id="66" w:name="_Toc235800194"/>
      <w:r w:rsidRPr="009B13F9">
        <w:rPr>
          <w:rFonts w:ascii="Times New Roman" w:eastAsia="Times New Roman" w:hAnsi="Times New Roman" w:cs="Times New Roman"/>
          <w:b/>
          <w:bCs/>
          <w:sz w:val="24"/>
          <w:szCs w:val="24"/>
        </w:rPr>
        <w:t>3.10 Ethical Considerations</w:t>
      </w:r>
      <w:bookmarkEnd w:id="66"/>
    </w:p>
    <w:p w14:paraId="0B0B643C" w14:textId="77777777" w:rsidR="00755E18" w:rsidRPr="009B13F9" w:rsidRDefault="00755E18" w:rsidP="00755E18">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study was conducted with utmost ethical considerations and formal approval from the institutional Ethical Review Committee (Creswell &amp; Poth, 2018). All participation was voluntary and informed written consent for all was obtained prior to data collection. The participants were clearly told that they could refuse to answer any question or leave the activity at any time without any repercussions on their academic performance.</w:t>
      </w:r>
    </w:p>
    <w:p w14:paraId="7A2CFDF3" w14:textId="58CAF9B5" w:rsidR="002F3B2B" w:rsidRPr="00755E18" w:rsidRDefault="00755E18" w:rsidP="00755E18">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To protect anonymity, all names were changed to pseudonyms and identifying institutional records or markers were removed from transcripts. Faces were not identified on visual data and the data was screened for those faces. All digital files, recordings and text arrays are kept on password protected equipment and on encrypted cloud drives and are accessible only to the primary researcher and will be deleted permanently 5 years after the study.</w:t>
      </w:r>
      <w:r w:rsidR="002F3B2B" w:rsidRPr="00755E18">
        <w:rPr>
          <w:rFonts w:ascii="Times New Roman" w:eastAsia="Times New Roman" w:hAnsi="Times New Roman" w:cs="Times New Roman"/>
          <w:b/>
          <w:bCs/>
          <w:sz w:val="24"/>
          <w:szCs w:val="24"/>
        </w:rPr>
        <w:br w:type="page"/>
      </w:r>
    </w:p>
    <w:p w14:paraId="4B33FE7F" w14:textId="29B75B0E" w:rsidR="003D5428" w:rsidRPr="009B13F9" w:rsidRDefault="00000000" w:rsidP="009B13F9">
      <w:pPr>
        <w:pStyle w:val="Heading1"/>
        <w:keepNext w:val="0"/>
        <w:keepLines w:val="0"/>
        <w:spacing w:before="480" w:line="480" w:lineRule="auto"/>
        <w:jc w:val="center"/>
        <w:rPr>
          <w:rFonts w:ascii="Times New Roman" w:eastAsia="Times New Roman" w:hAnsi="Times New Roman" w:cs="Times New Roman"/>
          <w:b/>
          <w:bCs/>
          <w:sz w:val="24"/>
          <w:szCs w:val="24"/>
        </w:rPr>
      </w:pPr>
      <w:bookmarkStart w:id="67" w:name="_Toc235800195"/>
      <w:r w:rsidRPr="009B13F9">
        <w:rPr>
          <w:rFonts w:ascii="Times New Roman" w:eastAsia="Times New Roman" w:hAnsi="Times New Roman" w:cs="Times New Roman"/>
          <w:b/>
          <w:bCs/>
          <w:sz w:val="24"/>
          <w:szCs w:val="24"/>
        </w:rPr>
        <w:lastRenderedPageBreak/>
        <w:t>4. Findings and Analysis</w:t>
      </w:r>
      <w:bookmarkEnd w:id="67"/>
    </w:p>
    <w:p w14:paraId="24B72D5F"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68" w:name="_i14svyiv6gbl" w:colFirst="0" w:colLast="0"/>
      <w:bookmarkStart w:id="69" w:name="_Toc235800196"/>
      <w:bookmarkEnd w:id="68"/>
      <w:r w:rsidRPr="009B13F9">
        <w:rPr>
          <w:rFonts w:ascii="Times New Roman" w:eastAsia="Times New Roman" w:hAnsi="Times New Roman" w:cs="Times New Roman"/>
          <w:b/>
          <w:bCs/>
          <w:sz w:val="24"/>
          <w:szCs w:val="24"/>
        </w:rPr>
        <w:t>4.1 Introduction</w:t>
      </w:r>
      <w:bookmarkEnd w:id="69"/>
    </w:p>
    <w:p w14:paraId="22546A2F" w14:textId="3BEE6800"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chapter outlines the qualitative results of the study that examined the negotiations and transformations of metacognitive learning strategies of postgraduate students from different national and educational backgrounds in the multicultural context of the Master of Arts in Education program at an international university for women in Chattogram, Bangladesh.</w:t>
      </w:r>
    </w:p>
    <w:p w14:paraId="1B7A4A4B"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empirical material is arranged around three major themes that emerged from the manual reflexive thematic analysis of the semi-structured interviews, focus group discussions, written focus group responses and the photovoice submissions. In line with the interpretivist paradigm and social constructivist stance of this study, the results emphasize the participants' subjective interpretations and contextual configurations of learning, rather than the universal cognitive performance indices.</w:t>
      </w:r>
    </w:p>
    <w:p w14:paraId="3D80E215"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Table 4.1 maps the primary themes and sub-themes to give a conceptual map for the narrative analysis.</w:t>
      </w:r>
    </w:p>
    <w:p w14:paraId="5AEBD903" w14:textId="77777777" w:rsidR="002F3B2B" w:rsidRPr="009B13F9" w:rsidRDefault="002F3B2B" w:rsidP="009B13F9">
      <w:pPr>
        <w:spacing w:line="480" w:lineRule="auto"/>
        <w:rPr>
          <w:rFonts w:ascii="Times New Roman" w:eastAsia="Times New Roman" w:hAnsi="Times New Roman" w:cs="Times New Roman"/>
          <w:b/>
          <w:bCs/>
          <w:color w:val="000000"/>
          <w:sz w:val="24"/>
          <w:szCs w:val="24"/>
        </w:rPr>
      </w:pPr>
      <w:bookmarkStart w:id="70" w:name="_s84hkh24ot6q" w:colFirst="0" w:colLast="0"/>
      <w:bookmarkEnd w:id="70"/>
      <w:r w:rsidRPr="009B13F9">
        <w:rPr>
          <w:rFonts w:ascii="Times New Roman" w:eastAsia="Times New Roman" w:hAnsi="Times New Roman" w:cs="Times New Roman"/>
          <w:b/>
          <w:bCs/>
          <w:color w:val="000000"/>
          <w:sz w:val="24"/>
          <w:szCs w:val="24"/>
        </w:rPr>
        <w:br w:type="page"/>
      </w:r>
    </w:p>
    <w:p w14:paraId="146E1A5F" w14:textId="7DA26AE5" w:rsidR="003D5428" w:rsidRPr="009B13F9" w:rsidRDefault="00000000" w:rsidP="009B13F9">
      <w:pPr>
        <w:pStyle w:val="Heading3"/>
        <w:keepNext w:val="0"/>
        <w:keepLines w:val="0"/>
        <w:spacing w:before="280" w:line="480" w:lineRule="auto"/>
        <w:rPr>
          <w:rFonts w:ascii="Times New Roman" w:eastAsia="Times New Roman" w:hAnsi="Times New Roman" w:cs="Times New Roman"/>
          <w:b/>
          <w:bCs/>
          <w:color w:val="000000"/>
          <w:sz w:val="24"/>
          <w:szCs w:val="24"/>
        </w:rPr>
      </w:pPr>
      <w:bookmarkStart w:id="71" w:name="_Toc235800197"/>
      <w:r w:rsidRPr="009B13F9">
        <w:rPr>
          <w:rFonts w:ascii="Times New Roman" w:eastAsia="Times New Roman" w:hAnsi="Times New Roman" w:cs="Times New Roman"/>
          <w:b/>
          <w:bCs/>
          <w:color w:val="000000"/>
          <w:sz w:val="24"/>
          <w:szCs w:val="24"/>
        </w:rPr>
        <w:lastRenderedPageBreak/>
        <w:t>Table 4.1</w:t>
      </w:r>
      <w:bookmarkEnd w:id="71"/>
    </w:p>
    <w:p w14:paraId="5EF660B6" w14:textId="77777777" w:rsidR="003D5428" w:rsidRPr="009B13F9" w:rsidRDefault="00000000" w:rsidP="009B13F9">
      <w:pPr>
        <w:spacing w:before="240" w:after="24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i/>
          <w:iCs/>
          <w:sz w:val="24"/>
          <w:szCs w:val="24"/>
        </w:rPr>
        <w:t>Thematic Framework of this Study</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D5428" w:rsidRPr="009B13F9" w14:paraId="15007A19" w14:textId="77777777">
        <w:tc>
          <w:tcPr>
            <w:tcW w:w="4680" w:type="dxa"/>
            <w:tcMar>
              <w:top w:w="100" w:type="dxa"/>
              <w:left w:w="100" w:type="dxa"/>
              <w:bottom w:w="100" w:type="dxa"/>
              <w:right w:w="100" w:type="dxa"/>
            </w:tcMar>
          </w:tcPr>
          <w:p w14:paraId="2CE91AC8"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Primary Themes</w:t>
            </w:r>
          </w:p>
        </w:tc>
        <w:tc>
          <w:tcPr>
            <w:tcW w:w="4680" w:type="dxa"/>
            <w:tcMar>
              <w:top w:w="100" w:type="dxa"/>
              <w:left w:w="100" w:type="dxa"/>
              <w:bottom w:w="100" w:type="dxa"/>
              <w:right w:w="100" w:type="dxa"/>
            </w:tcMar>
          </w:tcPr>
          <w:p w14:paraId="05B53D62"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Sub-themes</w:t>
            </w:r>
          </w:p>
        </w:tc>
      </w:tr>
      <w:tr w:rsidR="003D5428" w:rsidRPr="009B13F9" w14:paraId="7DA3B0FF" w14:textId="77777777">
        <w:tc>
          <w:tcPr>
            <w:tcW w:w="4680" w:type="dxa"/>
            <w:tcMar>
              <w:top w:w="100" w:type="dxa"/>
              <w:left w:w="100" w:type="dxa"/>
              <w:bottom w:w="100" w:type="dxa"/>
              <w:right w:w="100" w:type="dxa"/>
            </w:tcMar>
            <w:vAlign w:val="center"/>
          </w:tcPr>
          <w:p w14:paraId="4E58CBFA" w14:textId="77777777" w:rsidR="003D5428" w:rsidRPr="009B13F9" w:rsidRDefault="00000000" w:rsidP="009B13F9">
            <w:pPr>
              <w:spacing w:after="8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Theme 1: Tactical Scaffolding and Environment Engineering in Response to Pedagogical Shock</w:t>
            </w:r>
          </w:p>
        </w:tc>
        <w:tc>
          <w:tcPr>
            <w:tcW w:w="4680" w:type="dxa"/>
            <w:tcMar>
              <w:top w:w="100" w:type="dxa"/>
              <w:left w:w="100" w:type="dxa"/>
              <w:bottom w:w="100" w:type="dxa"/>
              <w:right w:w="100" w:type="dxa"/>
            </w:tcMar>
            <w:vAlign w:val="center"/>
          </w:tcPr>
          <w:p w14:paraId="3F9606D1" w14:textId="77777777" w:rsidR="003D5428" w:rsidRPr="009B13F9" w:rsidRDefault="00000000" w:rsidP="009B13F9">
            <w:pPr>
              <w:numPr>
                <w:ilvl w:val="0"/>
                <w:numId w:val="10"/>
              </w:numPr>
              <w:spacing w:before="28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Negotiating Pedagogical Shock Through Externalized Planning</w:t>
            </w:r>
          </w:p>
          <w:p w14:paraId="79906753" w14:textId="77777777" w:rsidR="003D5428" w:rsidRPr="009B13F9" w:rsidRDefault="00000000" w:rsidP="009B13F9">
            <w:pPr>
              <w:numPr>
                <w:ilvl w:val="0"/>
                <w:numId w:val="10"/>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AI-Assisted Cognitive Scaffolding as a Strategy for Academic Adaptation</w:t>
            </w:r>
          </w:p>
          <w:p w14:paraId="33D8CE78" w14:textId="77777777" w:rsidR="003D5428" w:rsidRPr="009B13F9" w:rsidRDefault="00000000" w:rsidP="009B13F9">
            <w:pPr>
              <w:numPr>
                <w:ilvl w:val="0"/>
                <w:numId w:val="10"/>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Deep Textual Processing and Meaning-Oriented Learning</w:t>
            </w:r>
          </w:p>
          <w:p w14:paraId="1F759A0D" w14:textId="77777777" w:rsidR="003D5428" w:rsidRPr="009B13F9" w:rsidRDefault="00000000" w:rsidP="009B13F9">
            <w:pPr>
              <w:numPr>
                <w:ilvl w:val="0"/>
                <w:numId w:val="10"/>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Language, Participation Anxiety and Strategy Adaptation</w:t>
            </w:r>
          </w:p>
        </w:tc>
      </w:tr>
      <w:tr w:rsidR="003D5428" w:rsidRPr="009B13F9" w14:paraId="3D6A9FDF" w14:textId="77777777">
        <w:tc>
          <w:tcPr>
            <w:tcW w:w="4680" w:type="dxa"/>
            <w:tcMar>
              <w:top w:w="100" w:type="dxa"/>
              <w:left w:w="100" w:type="dxa"/>
              <w:bottom w:w="100" w:type="dxa"/>
              <w:right w:w="100" w:type="dxa"/>
            </w:tcMar>
            <w:vAlign w:val="center"/>
          </w:tcPr>
          <w:p w14:paraId="0BCA2365" w14:textId="77777777" w:rsidR="003D5428" w:rsidRPr="009B13F9" w:rsidRDefault="00000000" w:rsidP="009B13F9">
            <w:pPr>
              <w:spacing w:after="8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Theme 2: From Monolithic Truth to Epistemological Pluralism through Peer-Mediated Disagreement</w:t>
            </w:r>
          </w:p>
        </w:tc>
        <w:tc>
          <w:tcPr>
            <w:tcW w:w="4680" w:type="dxa"/>
            <w:tcMar>
              <w:top w:w="100" w:type="dxa"/>
              <w:left w:w="100" w:type="dxa"/>
              <w:bottom w:w="100" w:type="dxa"/>
              <w:right w:w="100" w:type="dxa"/>
            </w:tcMar>
            <w:vAlign w:val="center"/>
          </w:tcPr>
          <w:p w14:paraId="64BC9DCD" w14:textId="77777777" w:rsidR="003D5428" w:rsidRPr="009B13F9" w:rsidRDefault="00000000" w:rsidP="009B13F9">
            <w:pPr>
              <w:numPr>
                <w:ilvl w:val="0"/>
                <w:numId w:val="16"/>
              </w:numPr>
              <w:spacing w:before="28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Transition from Authority-Dependent Learning to Peer-Mediated Sense-Making</w:t>
            </w:r>
          </w:p>
          <w:p w14:paraId="32FE9F95" w14:textId="77777777" w:rsidR="003D5428" w:rsidRPr="009B13F9" w:rsidRDefault="00000000" w:rsidP="009B13F9">
            <w:pPr>
              <w:numPr>
                <w:ilvl w:val="0"/>
                <w:numId w:val="16"/>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Emergence of Epistemological Pluralism Through Intercultural Exposure</w:t>
            </w:r>
          </w:p>
          <w:p w14:paraId="6D3CF65C" w14:textId="77777777" w:rsidR="003D5428" w:rsidRPr="009B13F9" w:rsidRDefault="00000000" w:rsidP="009B13F9">
            <w:pPr>
              <w:numPr>
                <w:ilvl w:val="0"/>
                <w:numId w:val="16"/>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Negotiating Anxiety, Participation and Cognitive Risk-Taking</w:t>
            </w:r>
          </w:p>
          <w:p w14:paraId="56C42274" w14:textId="77777777" w:rsidR="003D5428" w:rsidRPr="009B13F9" w:rsidRDefault="00000000" w:rsidP="009B13F9">
            <w:pPr>
              <w:numPr>
                <w:ilvl w:val="0"/>
                <w:numId w:val="16"/>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lastRenderedPageBreak/>
              <w:t>Reconstructing Learning Identity Through Collective Knowledge Production</w:t>
            </w:r>
          </w:p>
        </w:tc>
      </w:tr>
      <w:tr w:rsidR="003D5428" w:rsidRPr="009B13F9" w14:paraId="2B31B226" w14:textId="77777777">
        <w:tc>
          <w:tcPr>
            <w:tcW w:w="4680" w:type="dxa"/>
            <w:tcMar>
              <w:top w:w="100" w:type="dxa"/>
              <w:left w:w="100" w:type="dxa"/>
              <w:bottom w:w="100" w:type="dxa"/>
              <w:right w:w="100" w:type="dxa"/>
            </w:tcMar>
            <w:vAlign w:val="center"/>
          </w:tcPr>
          <w:p w14:paraId="3E83FEC9" w14:textId="77777777" w:rsidR="003D5428" w:rsidRPr="009B13F9" w:rsidRDefault="00000000" w:rsidP="009B13F9">
            <w:pPr>
              <w:spacing w:after="8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lastRenderedPageBreak/>
              <w:t>Theme 3: Affective Self-Regulation and the Re-Anchoring of Education as a Civic Resilience Strategy</w:t>
            </w:r>
          </w:p>
        </w:tc>
        <w:tc>
          <w:tcPr>
            <w:tcW w:w="4680" w:type="dxa"/>
            <w:tcMar>
              <w:top w:w="100" w:type="dxa"/>
              <w:left w:w="100" w:type="dxa"/>
              <w:bottom w:w="100" w:type="dxa"/>
              <w:right w:w="100" w:type="dxa"/>
            </w:tcMar>
            <w:vAlign w:val="center"/>
          </w:tcPr>
          <w:p w14:paraId="68D23783" w14:textId="77777777" w:rsidR="003D5428" w:rsidRPr="009B13F9" w:rsidRDefault="00000000" w:rsidP="009B13F9">
            <w:pPr>
              <w:numPr>
                <w:ilvl w:val="0"/>
                <w:numId w:val="9"/>
              </w:numPr>
              <w:spacing w:before="28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Affective Strain and the Emotional Landscape of Graduate Learning</w:t>
            </w:r>
          </w:p>
          <w:p w14:paraId="63A89C44" w14:textId="77777777" w:rsidR="003D5428" w:rsidRPr="009B13F9" w:rsidRDefault="00000000" w:rsidP="009B13F9">
            <w:pPr>
              <w:numPr>
                <w:ilvl w:val="0"/>
                <w:numId w:val="9"/>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Self-Regulation Through Wellbeing Practices and Environmental Care</w:t>
            </w:r>
          </w:p>
          <w:p w14:paraId="567FCA52" w14:textId="77777777" w:rsidR="003D5428" w:rsidRPr="009B13F9" w:rsidRDefault="00000000" w:rsidP="009B13F9">
            <w:pPr>
              <w:numPr>
                <w:ilvl w:val="0"/>
                <w:numId w:val="9"/>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From Performance Orientation to Meaning-Making and Civic Reorientation</w:t>
            </w:r>
          </w:p>
          <w:p w14:paraId="7F81A206" w14:textId="77777777" w:rsidR="003D5428" w:rsidRPr="009B13F9" w:rsidRDefault="00000000" w:rsidP="009B13F9">
            <w:pPr>
              <w:numPr>
                <w:ilvl w:val="0"/>
                <w:numId w:val="9"/>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Identity Transformation and the Re-Construction of the Learner Self</w:t>
            </w:r>
          </w:p>
        </w:tc>
      </w:tr>
    </w:tbl>
    <w:p w14:paraId="2C8C19EC" w14:textId="77777777" w:rsidR="003D5428" w:rsidRPr="009B13F9" w:rsidRDefault="00000000" w:rsidP="009B13F9">
      <w:pPr>
        <w:pStyle w:val="Heading2"/>
        <w:spacing w:before="240" w:after="240" w:line="480" w:lineRule="auto"/>
        <w:rPr>
          <w:rFonts w:ascii="Times New Roman" w:eastAsia="Times New Roman" w:hAnsi="Times New Roman" w:cs="Times New Roman"/>
          <w:b/>
          <w:bCs/>
          <w:sz w:val="24"/>
          <w:szCs w:val="24"/>
        </w:rPr>
      </w:pPr>
      <w:bookmarkStart w:id="72" w:name="_pb6y3abt083p" w:colFirst="0" w:colLast="0"/>
      <w:bookmarkStart w:id="73" w:name="_Toc235800198"/>
      <w:bookmarkEnd w:id="72"/>
      <w:r w:rsidRPr="009B13F9">
        <w:rPr>
          <w:rFonts w:ascii="Times New Roman" w:eastAsia="Times New Roman" w:hAnsi="Times New Roman" w:cs="Times New Roman"/>
          <w:b/>
          <w:bCs/>
          <w:sz w:val="24"/>
          <w:szCs w:val="24"/>
        </w:rPr>
        <w:t>4.2 Participant Profile</w:t>
      </w:r>
      <w:bookmarkEnd w:id="73"/>
    </w:p>
    <w:p w14:paraId="15CB3C77" w14:textId="3F19273B"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There are 5</w:t>
      </w:r>
      <w:r w:rsidR="005269A6" w:rsidRPr="009B13F9">
        <w:rPr>
          <w:rFonts w:ascii="Times New Roman" w:eastAsia="Times New Roman" w:hAnsi="Times New Roman" w:cs="Times New Roman"/>
          <w:sz w:val="24"/>
          <w:szCs w:val="24"/>
        </w:rPr>
        <w:t>3</w:t>
      </w:r>
      <w:r w:rsidRPr="009B13F9">
        <w:rPr>
          <w:rFonts w:ascii="Times New Roman" w:eastAsia="Times New Roman" w:hAnsi="Times New Roman" w:cs="Times New Roman"/>
          <w:sz w:val="24"/>
          <w:szCs w:val="24"/>
        </w:rPr>
        <w:t xml:space="preserve"> active graduate students on two tracks of the academic year who make up the full cohort under review. The </w:t>
      </w:r>
      <w:r w:rsidR="00992624" w:rsidRPr="009B13F9">
        <w:rPr>
          <w:rFonts w:ascii="Times New Roman" w:eastAsia="Times New Roman" w:hAnsi="Times New Roman" w:cs="Times New Roman"/>
          <w:sz w:val="24"/>
          <w:szCs w:val="24"/>
        </w:rPr>
        <w:t>first-year</w:t>
      </w:r>
      <w:r w:rsidRPr="009B13F9">
        <w:rPr>
          <w:rFonts w:ascii="Times New Roman" w:eastAsia="Times New Roman" w:hAnsi="Times New Roman" w:cs="Times New Roman"/>
          <w:sz w:val="24"/>
          <w:szCs w:val="24"/>
        </w:rPr>
        <w:t xml:space="preserve"> cohort (n = 27) includes 15 Bangladeshi student, 8 Afghan student, 2 Rohingya student, 1 Pakistani student and 1 Vietnamese student. There are 13 Afghan, 9 Bangladeshi, 3 Rohingya and 1 Timorese student in the </w:t>
      </w:r>
      <w:r w:rsidR="00992624" w:rsidRPr="009B13F9">
        <w:rPr>
          <w:rFonts w:ascii="Times New Roman" w:eastAsia="Times New Roman" w:hAnsi="Times New Roman" w:cs="Times New Roman"/>
          <w:sz w:val="24"/>
          <w:szCs w:val="24"/>
        </w:rPr>
        <w:t>second-year</w:t>
      </w:r>
      <w:r w:rsidRPr="009B13F9">
        <w:rPr>
          <w:rFonts w:ascii="Times New Roman" w:eastAsia="Times New Roman" w:hAnsi="Times New Roman" w:cs="Times New Roman"/>
          <w:sz w:val="24"/>
          <w:szCs w:val="24"/>
        </w:rPr>
        <w:t xml:space="preserve"> cohort (n = 2</w:t>
      </w:r>
      <w:r w:rsidR="005269A6" w:rsidRPr="009B13F9">
        <w:rPr>
          <w:rFonts w:ascii="Times New Roman" w:eastAsia="Times New Roman" w:hAnsi="Times New Roman" w:cs="Times New Roman"/>
          <w:sz w:val="24"/>
          <w:szCs w:val="24"/>
        </w:rPr>
        <w:t>6</w:t>
      </w:r>
      <w:r w:rsidRPr="009B13F9">
        <w:rPr>
          <w:rFonts w:ascii="Times New Roman" w:eastAsia="Times New Roman" w:hAnsi="Times New Roman" w:cs="Times New Roman"/>
          <w:sz w:val="24"/>
          <w:szCs w:val="24"/>
        </w:rPr>
        <w:t>). Overall population characteristics are shown in Table B1</w:t>
      </w:r>
      <w:r w:rsidR="00755E18">
        <w:rPr>
          <w:rFonts w:ascii="Times New Roman" w:eastAsia="Times New Roman" w:hAnsi="Times New Roman" w:cs="Times New Roman"/>
          <w:sz w:val="24"/>
          <w:szCs w:val="24"/>
        </w:rPr>
        <w:t xml:space="preserve"> in Appendix B</w:t>
      </w:r>
      <w:r w:rsidRPr="009B13F9">
        <w:rPr>
          <w:rFonts w:ascii="Times New Roman" w:eastAsia="Times New Roman" w:hAnsi="Times New Roman" w:cs="Times New Roman"/>
          <w:sz w:val="24"/>
          <w:szCs w:val="24"/>
        </w:rPr>
        <w:t>.</w:t>
      </w:r>
    </w:p>
    <w:p w14:paraId="30DB70E1" w14:textId="55903428"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lastRenderedPageBreak/>
        <w:t>A purposive sampling resulted in an active research participant pool of 13 scholars, who participated in individual interviews, focus group discussion and photovoice submission. The demographic profiles, pseudonyms and participation throughout the data triangulation method are presented in Table B2</w:t>
      </w:r>
      <w:r w:rsidR="00755E18">
        <w:rPr>
          <w:rFonts w:ascii="Times New Roman" w:eastAsia="Times New Roman" w:hAnsi="Times New Roman" w:cs="Times New Roman"/>
          <w:sz w:val="24"/>
          <w:szCs w:val="24"/>
        </w:rPr>
        <w:t xml:space="preserve"> in Appendix B</w:t>
      </w:r>
      <w:r w:rsidRPr="009B13F9">
        <w:rPr>
          <w:rFonts w:ascii="Times New Roman" w:eastAsia="Times New Roman" w:hAnsi="Times New Roman" w:cs="Times New Roman"/>
          <w:sz w:val="24"/>
          <w:szCs w:val="24"/>
        </w:rPr>
        <w:t xml:space="preserve">. </w:t>
      </w:r>
    </w:p>
    <w:p w14:paraId="6D8644CC" w14:textId="63C786D0" w:rsidR="003D5428" w:rsidRPr="009B13F9" w:rsidRDefault="005450E9" w:rsidP="009B13F9">
      <w:pPr>
        <w:pStyle w:val="Heading2"/>
        <w:spacing w:line="480" w:lineRule="auto"/>
        <w:rPr>
          <w:rFonts w:ascii="Times New Roman" w:hAnsi="Times New Roman" w:cs="Times New Roman"/>
          <w:b/>
          <w:bCs/>
          <w:sz w:val="24"/>
          <w:szCs w:val="24"/>
        </w:rPr>
      </w:pPr>
      <w:bookmarkStart w:id="74" w:name="_1omvadnu1bpe" w:colFirst="0" w:colLast="0"/>
      <w:bookmarkStart w:id="75" w:name="_Toc235800199"/>
      <w:bookmarkEnd w:id="74"/>
      <w:r w:rsidRPr="009B13F9">
        <w:rPr>
          <w:rFonts w:ascii="Times New Roman" w:hAnsi="Times New Roman" w:cs="Times New Roman"/>
          <w:b/>
          <w:bCs/>
          <w:sz w:val="24"/>
          <w:szCs w:val="24"/>
        </w:rPr>
        <w:t>4.3 Theme 1: Tactical Scaffolding and Environment Engineering in Response to Pedagogical Shock</w:t>
      </w:r>
      <w:bookmarkEnd w:id="75"/>
    </w:p>
    <w:p w14:paraId="530A36E0"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theme reflects participants' active role in making the move from the passive and exam-focused school context to the interactive and graduate context, and their customization of their physical environments and technological and linguistic scaffolds. It directly speaks to Research Sub-Questions 1 and 2: What are the uses of strategic strategy and what are the previous educational impacts? The narrative is a result of analysis of the categories of material self-regulation and technological strategy negotiation, and was triangulated between individual interviews, focus group responses and the artifacts produced in the photovoice.</w:t>
      </w:r>
    </w:p>
    <w:p w14:paraId="49E81773"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b/>
          <w:bCs/>
          <w:color w:val="000000"/>
          <w:sz w:val="24"/>
          <w:szCs w:val="24"/>
        </w:rPr>
      </w:pPr>
      <w:bookmarkStart w:id="76" w:name="_m8x9iv87yfp2" w:colFirst="0" w:colLast="0"/>
      <w:bookmarkStart w:id="77" w:name="_Toc235800200"/>
      <w:bookmarkEnd w:id="76"/>
      <w:r w:rsidRPr="009B13F9">
        <w:rPr>
          <w:rFonts w:ascii="Times New Roman" w:eastAsia="Times New Roman" w:hAnsi="Times New Roman" w:cs="Times New Roman"/>
          <w:b/>
          <w:bCs/>
          <w:color w:val="000000"/>
          <w:sz w:val="24"/>
          <w:szCs w:val="24"/>
        </w:rPr>
        <w:t>4.3.1 Negotiating Pedagogical Shock Through Externalized Planning</w:t>
      </w:r>
      <w:bookmarkEnd w:id="77"/>
    </w:p>
    <w:p w14:paraId="67D87C14" w14:textId="716886F4"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Participants found that there was immediate structural struggle as they moved from teacher-</w:t>
      </w:r>
      <w:r w:rsidR="00AC203F" w:rsidRPr="009B13F9">
        <w:rPr>
          <w:rFonts w:ascii="Times New Roman" w:eastAsia="Times New Roman" w:hAnsi="Times New Roman" w:cs="Times New Roman"/>
          <w:sz w:val="24"/>
          <w:szCs w:val="24"/>
        </w:rPr>
        <w:t>centered</w:t>
      </w:r>
      <w:r w:rsidRPr="009B13F9">
        <w:rPr>
          <w:rFonts w:ascii="Times New Roman" w:eastAsia="Times New Roman" w:hAnsi="Times New Roman" w:cs="Times New Roman"/>
          <w:sz w:val="24"/>
          <w:szCs w:val="24"/>
        </w:rPr>
        <w:t xml:space="preserve"> undergraduate systems to the student-</w:t>
      </w:r>
      <w:r w:rsidR="00AC203F" w:rsidRPr="009B13F9">
        <w:rPr>
          <w:rFonts w:ascii="Times New Roman" w:eastAsia="Times New Roman" w:hAnsi="Times New Roman" w:cs="Times New Roman"/>
          <w:sz w:val="24"/>
          <w:szCs w:val="24"/>
        </w:rPr>
        <w:t>centered</w:t>
      </w:r>
      <w:r w:rsidRPr="009B13F9">
        <w:rPr>
          <w:rFonts w:ascii="Times New Roman" w:eastAsia="Times New Roman" w:hAnsi="Times New Roman" w:cs="Times New Roman"/>
          <w:sz w:val="24"/>
          <w:szCs w:val="24"/>
        </w:rPr>
        <w:t xml:space="preserve"> demands of the graduate program. To address this pedagogical shift, students intentionally moved their metacognitive planning from internal to physical and digital organizational tools. Maria commented on this change: "[I] note down every deadline on sticky note… schedule according to it… work based on it."</w:t>
      </w:r>
    </w:p>
    <w:p w14:paraId="771CFB48"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spatial tracking enabled participants to divide up complex deadlines into concrete steps. The accounts of the focus groups confirmed that the preparation changed to proactively </w:t>
      </w:r>
      <w:r w:rsidRPr="009B13F9">
        <w:rPr>
          <w:rFonts w:ascii="Times New Roman" w:eastAsia="Times New Roman" w:hAnsi="Times New Roman" w:cs="Times New Roman"/>
          <w:sz w:val="24"/>
          <w:szCs w:val="24"/>
        </w:rPr>
        <w:lastRenderedPageBreak/>
        <w:t>engaging, as Laila pointed out: "Now, I try to read more critically and come prepared with my own opinions so I can contribute."</w:t>
      </w:r>
    </w:p>
    <w:p w14:paraId="2DE0E834" w14:textId="622094B6"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Photovoice data revealed that planning was manifested in the physical workspace. Customization of workspace was used as a direct cognitive anchor to monitor competing demands. "You will see all the objects starting from a laptop, keyboard... my notebook, my checklist diary, my personal calendar to track deadlines.", Tasnim explained. Lailuma also </w:t>
      </w:r>
      <w:r w:rsidR="00C25F99" w:rsidRPr="009B13F9">
        <w:rPr>
          <w:rFonts w:ascii="Times New Roman" w:eastAsia="Times New Roman" w:hAnsi="Times New Roman" w:cs="Times New Roman"/>
          <w:sz w:val="24"/>
          <w:szCs w:val="24"/>
        </w:rPr>
        <w:t>utilized</w:t>
      </w:r>
      <w:r w:rsidRPr="009B13F9">
        <w:rPr>
          <w:rFonts w:ascii="Times New Roman" w:eastAsia="Times New Roman" w:hAnsi="Times New Roman" w:cs="Times New Roman"/>
          <w:sz w:val="24"/>
          <w:szCs w:val="24"/>
        </w:rPr>
        <w:t xml:space="preserve"> her wall space to handle the difficult academic time schedules: "This shows my time management when I have multi tasks and language barriers. Beside all my assignments and duties, I have to work on my language as well."</w:t>
      </w:r>
    </w:p>
    <w:p w14:paraId="2838CDDC"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sz w:val="24"/>
          <w:szCs w:val="24"/>
        </w:rPr>
      </w:pPr>
      <w:bookmarkStart w:id="78" w:name="_kchos4w32qr1" w:colFirst="0" w:colLast="0"/>
      <w:bookmarkStart w:id="79" w:name="_Toc235800201"/>
      <w:bookmarkEnd w:id="78"/>
      <w:r w:rsidRPr="009B13F9">
        <w:rPr>
          <w:rFonts w:ascii="Times New Roman" w:eastAsia="Times New Roman" w:hAnsi="Times New Roman" w:cs="Times New Roman"/>
          <w:b/>
          <w:bCs/>
          <w:color w:val="000000"/>
          <w:sz w:val="24"/>
          <w:szCs w:val="24"/>
        </w:rPr>
        <w:t>4.3.2 AI-Assisted Cognitive Scaffolding as a Strategy for Academic Adaptation</w:t>
      </w:r>
      <w:bookmarkEnd w:id="79"/>
    </w:p>
    <w:p w14:paraId="263E48E4" w14:textId="432467E4"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One of the key structural approaches was the use of generative AI tools as scaffolding to deal with complex academic texts and unfamiliar terminology. Participants used tools such as ChatGPT to address text anxiety as a scaffold to prevent academic dishonesty. “It allowed me to understand things in an easy way." Tasnim said. Anika explained a similar preparation process: "I gave the chapters, the slides and everything [to AI]." "I upload the paper to ChatGPT.", Laila said.</w:t>
      </w:r>
    </w:p>
    <w:p w14:paraId="3E7F0FB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Instead of critical evaluation being avoided, applications of AI were used as preparatory cognitive tools, which reduced the language barrier and provided a foundation of confidence. This enabled multilingual students to take a full part in collaborative seminars. In the focus group, Tasnim said, "I used AI for clarification”.</w:t>
      </w:r>
    </w:p>
    <w:p w14:paraId="2B8BDFB7"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sz w:val="24"/>
          <w:szCs w:val="24"/>
        </w:rPr>
      </w:pPr>
      <w:bookmarkStart w:id="80" w:name="_w8zdfbguquba" w:colFirst="0" w:colLast="0"/>
      <w:bookmarkStart w:id="81" w:name="_Toc235800202"/>
      <w:bookmarkEnd w:id="80"/>
      <w:r w:rsidRPr="009B13F9">
        <w:rPr>
          <w:rFonts w:ascii="Times New Roman" w:eastAsia="Times New Roman" w:hAnsi="Times New Roman" w:cs="Times New Roman"/>
          <w:b/>
          <w:bCs/>
          <w:color w:val="000000"/>
          <w:sz w:val="24"/>
          <w:szCs w:val="24"/>
        </w:rPr>
        <w:t>4.3.3 Deep Textual Processing and Meaning-Oriented Learning</w:t>
      </w:r>
      <w:bookmarkEnd w:id="81"/>
    </w:p>
    <w:p w14:paraId="30123457"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Even with the digital scaffolds, participants focused on conceptual understanding rather than just completing tasks. Interviews revealed a common desire to engage in deep text </w:t>
      </w:r>
      <w:r w:rsidRPr="009B13F9">
        <w:rPr>
          <w:rFonts w:ascii="Times New Roman" w:eastAsia="Times New Roman" w:hAnsi="Times New Roman" w:cs="Times New Roman"/>
          <w:sz w:val="24"/>
          <w:szCs w:val="24"/>
        </w:rPr>
        <w:lastRenderedPageBreak/>
        <w:t>processing as opposed to past memorization behaviors. "I was searching about every sentence." Khadija said. Zarmina said: "...first I try to understand the context," and Adiba said the graduate level "...needs contextual understanding before reading”.</w:t>
      </w:r>
    </w:p>
    <w:p w14:paraId="456EC4AC"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Photovoice materials corroborated these claims, revealing layering of study routines, with students using a combination of printed articles, digital outlines, and personal notation codes. Anika explained how she used visual outlines to go from ideas to a written paper: "The image shows a notebook page containing a bubble plan... used for organizing ideas... [It represents] creating a skeleton before writing an essay."</w:t>
      </w:r>
    </w:p>
    <w:p w14:paraId="457BD6DF"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sz w:val="24"/>
          <w:szCs w:val="24"/>
        </w:rPr>
      </w:pPr>
      <w:bookmarkStart w:id="82" w:name="_9l7b26bycbgf" w:colFirst="0" w:colLast="0"/>
      <w:bookmarkStart w:id="83" w:name="_Toc235800203"/>
      <w:bookmarkEnd w:id="82"/>
      <w:r w:rsidRPr="009B13F9">
        <w:rPr>
          <w:rFonts w:ascii="Times New Roman" w:eastAsia="Times New Roman" w:hAnsi="Times New Roman" w:cs="Times New Roman"/>
          <w:b/>
          <w:bCs/>
          <w:color w:val="000000"/>
          <w:sz w:val="24"/>
          <w:szCs w:val="24"/>
        </w:rPr>
        <w:t>4.3.4 Language, Participation Anxiety and Strategy Adaptation</w:t>
      </w:r>
      <w:bookmarkEnd w:id="83"/>
    </w:p>
    <w:p w14:paraId="3AEF016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Linguistic adjustment was a major source of strain for students from non-English-medium schools, and was evident in the participation anxiety that was seen in group sessions. Lailuma said:  "...language barrier was also there... I don't ask the question… they may judge me." Maria also commented: "...difficulty in advanced vocabularies... [I was] not confident to say whatever comes to mind."</w:t>
      </w:r>
    </w:p>
    <w:p w14:paraId="7E16995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To deal with this anxiety, students changed their monitoring habits, studying texts in depth beforehand and having discussion points written out prior to class. In the focus group session, Lailuma shared her experience of long-term adaptation, "First challenge was language barrier... educational journey was in Dari. Participation was required... [I] lost confidence, became introverted... [Now] trying to improve, language barrier decreasing, confidence returning."</w:t>
      </w:r>
    </w:p>
    <w:p w14:paraId="19134EF6" w14:textId="77777777" w:rsidR="005450E9" w:rsidRPr="009B13F9" w:rsidRDefault="005450E9" w:rsidP="009B13F9">
      <w:pPr>
        <w:spacing w:line="480" w:lineRule="auto"/>
        <w:rPr>
          <w:rFonts w:ascii="Times New Roman" w:eastAsia="Times New Roman" w:hAnsi="Times New Roman" w:cs="Times New Roman"/>
          <w:b/>
          <w:bCs/>
          <w:sz w:val="24"/>
          <w:szCs w:val="24"/>
        </w:rPr>
      </w:pPr>
      <w:bookmarkStart w:id="84" w:name="_31lu666czrap" w:colFirst="0" w:colLast="0"/>
      <w:bookmarkEnd w:id="84"/>
      <w:r w:rsidRPr="009B13F9">
        <w:rPr>
          <w:rFonts w:ascii="Times New Roman" w:eastAsia="Times New Roman" w:hAnsi="Times New Roman" w:cs="Times New Roman"/>
          <w:b/>
          <w:bCs/>
          <w:sz w:val="24"/>
          <w:szCs w:val="24"/>
        </w:rPr>
        <w:br w:type="page"/>
      </w:r>
    </w:p>
    <w:p w14:paraId="4404E01E" w14:textId="323AE942" w:rsidR="003D5428" w:rsidRPr="009B13F9" w:rsidRDefault="00000000" w:rsidP="009B13F9">
      <w:pPr>
        <w:pStyle w:val="Heading2"/>
        <w:keepNext w:val="0"/>
        <w:keepLines w:val="0"/>
        <w:spacing w:before="0" w:after="80" w:line="480" w:lineRule="auto"/>
        <w:rPr>
          <w:rFonts w:ascii="Times New Roman" w:eastAsia="Times New Roman" w:hAnsi="Times New Roman" w:cs="Times New Roman"/>
          <w:sz w:val="24"/>
          <w:szCs w:val="24"/>
        </w:rPr>
      </w:pPr>
      <w:bookmarkStart w:id="85" w:name="_Toc235800204"/>
      <w:r w:rsidRPr="009B13F9">
        <w:rPr>
          <w:rFonts w:ascii="Times New Roman" w:eastAsia="Times New Roman" w:hAnsi="Times New Roman" w:cs="Times New Roman"/>
          <w:b/>
          <w:bCs/>
          <w:sz w:val="24"/>
          <w:szCs w:val="24"/>
        </w:rPr>
        <w:lastRenderedPageBreak/>
        <w:t>4.4 Theme 2: From Monolithic Truth to Epistemological Pluralism through Peer-Mediated Disagreement</w:t>
      </w:r>
      <w:bookmarkEnd w:id="85"/>
    </w:p>
    <w:p w14:paraId="1A158A29" w14:textId="77777777" w:rsidR="005450E9" w:rsidRPr="009B13F9" w:rsidRDefault="00000000" w:rsidP="009B13F9">
      <w:pPr>
        <w:spacing w:line="480" w:lineRule="auto"/>
        <w:ind w:firstLine="720"/>
        <w:rPr>
          <w:rFonts w:ascii="Times New Roman" w:eastAsia="Times New Roman" w:hAnsi="Times New Roman" w:cs="Times New Roman"/>
          <w:b/>
          <w:bCs/>
          <w:color w:val="000000"/>
          <w:sz w:val="24"/>
          <w:szCs w:val="24"/>
        </w:rPr>
      </w:pPr>
      <w:r w:rsidRPr="009B13F9">
        <w:rPr>
          <w:rFonts w:ascii="Times New Roman" w:eastAsia="Times New Roman" w:hAnsi="Times New Roman" w:cs="Times New Roman"/>
          <w:sz w:val="24"/>
          <w:szCs w:val="24"/>
        </w:rPr>
        <w:t xml:space="preserve">This theme has shown how long-term multicultural contact transformed the participants' notions of knowledge, from the idea of knowledge as a fixed and authoritative truth to a negotiated and multi-perspectival one. It directly responds to Research Sub-Questions 3 and 4 that focus on peer interaction and culturally-based learning models. The results came out of the categories of socially distributed cognition and shared meaning-making, which were triangulated with the interview data, focus group discussions and relational photovoice artefacts. </w:t>
      </w:r>
      <w:bookmarkStart w:id="86" w:name="_57iun5mho9v2" w:colFirst="0" w:colLast="0"/>
      <w:bookmarkEnd w:id="86"/>
    </w:p>
    <w:p w14:paraId="21F11C68" w14:textId="640B219E" w:rsidR="003D5428" w:rsidRPr="009B13F9" w:rsidRDefault="00000000" w:rsidP="009B13F9">
      <w:pPr>
        <w:pStyle w:val="Heading3"/>
        <w:spacing w:line="480" w:lineRule="auto"/>
        <w:rPr>
          <w:rFonts w:ascii="Times New Roman" w:hAnsi="Times New Roman" w:cs="Times New Roman"/>
          <w:b/>
          <w:bCs/>
          <w:color w:val="000000" w:themeColor="text1"/>
          <w:sz w:val="24"/>
          <w:szCs w:val="24"/>
        </w:rPr>
      </w:pPr>
      <w:bookmarkStart w:id="87" w:name="_Toc235800205"/>
      <w:r w:rsidRPr="009B13F9">
        <w:rPr>
          <w:rFonts w:ascii="Times New Roman" w:hAnsi="Times New Roman" w:cs="Times New Roman"/>
          <w:b/>
          <w:bCs/>
          <w:color w:val="000000" w:themeColor="text1"/>
          <w:sz w:val="24"/>
          <w:szCs w:val="24"/>
        </w:rPr>
        <w:t>4.4.1 Transition from Authority-Dependent Learning to Peer-Mediated Sense-Making</w:t>
      </w:r>
      <w:bookmarkEnd w:id="87"/>
    </w:p>
    <w:p w14:paraId="39DB8D62" w14:textId="24F6A021"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participants indicated that their early experiences of education were influenced by strict educational settings in which it was not encouraged to question teachers. Bushra remembered: "...supposed to obey teachers blindly… Teachers expected textbook answers. They discouraged our own experiences”</w:t>
      </w:r>
      <w:r w:rsidR="00CB67C6">
        <w:rPr>
          <w:rFonts w:ascii="Times New Roman" w:eastAsia="Times New Roman" w:hAnsi="Times New Roman" w:cs="Times New Roman"/>
          <w:sz w:val="24"/>
          <w:szCs w:val="24"/>
        </w:rPr>
        <w:t>.</w:t>
      </w:r>
      <w:r w:rsidRPr="009B13F9">
        <w:rPr>
          <w:rFonts w:ascii="Times New Roman" w:eastAsia="Times New Roman" w:hAnsi="Times New Roman" w:cs="Times New Roman"/>
          <w:sz w:val="24"/>
          <w:szCs w:val="24"/>
        </w:rPr>
        <w:t xml:space="preserve"> "...there was no scope for me to question the teacher… teachers used to be offended", Nusrat added.</w:t>
      </w:r>
    </w:p>
    <w:p w14:paraId="36CBCD02" w14:textId="63D502ED"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These habits changed when the classroom became a seminar and students began to seek out their peer groups for validation of their interpretations. Maria </w:t>
      </w:r>
      <w:r w:rsidR="001A737B" w:rsidRPr="009B13F9">
        <w:rPr>
          <w:rFonts w:ascii="Times New Roman" w:eastAsia="Times New Roman" w:hAnsi="Times New Roman" w:cs="Times New Roman"/>
          <w:sz w:val="24"/>
          <w:szCs w:val="24"/>
        </w:rPr>
        <w:t>noted, “</w:t>
      </w:r>
      <w:r w:rsidRPr="009B13F9">
        <w:rPr>
          <w:rFonts w:ascii="Times New Roman" w:eastAsia="Times New Roman" w:hAnsi="Times New Roman" w:cs="Times New Roman"/>
          <w:sz w:val="24"/>
          <w:szCs w:val="24"/>
        </w:rPr>
        <w:t>Class discussions influence understanding… different people share ideas… friends’ explanations influence me." Yasmin said: "I learned more from classmates than professors. Discussion helps me learn… Some courses I learned mainly from classmates". That change was confirmed by Adiba: "Peers sometimes explain better than professors."</w:t>
      </w:r>
    </w:p>
    <w:p w14:paraId="4384887D"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dialogue was a collaborative effort, which helped to clarify complex institutional assignments. Lailuma explained: "Peers explain concepts… group working is not something challenging, I really enjoy that also… the discussion… is really helpful for me."</w:t>
      </w:r>
    </w:p>
    <w:p w14:paraId="4E74F72E"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sz w:val="24"/>
          <w:szCs w:val="24"/>
        </w:rPr>
      </w:pPr>
      <w:bookmarkStart w:id="88" w:name="_9fe4y45sm1jj" w:colFirst="0" w:colLast="0"/>
      <w:bookmarkStart w:id="89" w:name="_Toc235800206"/>
      <w:bookmarkEnd w:id="88"/>
      <w:r w:rsidRPr="009B13F9">
        <w:rPr>
          <w:rFonts w:ascii="Times New Roman" w:eastAsia="Times New Roman" w:hAnsi="Times New Roman" w:cs="Times New Roman"/>
          <w:b/>
          <w:bCs/>
          <w:color w:val="000000"/>
          <w:sz w:val="24"/>
          <w:szCs w:val="24"/>
        </w:rPr>
        <w:lastRenderedPageBreak/>
        <w:t>4.4.2 Emergence of Epistemological Pluralism Through Intercultural Exposure</w:t>
      </w:r>
      <w:bookmarkEnd w:id="89"/>
    </w:p>
    <w:p w14:paraId="783B7C65"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Students' experiences with diverse regional perspectives had a significant impact on their understanding of the nature of truth. Multiple cultural interpretations challenged the concept of one right answer. “Everyone has their own opinion and everyone is right in their own opinion,” Adiba said, “It was difficult to accept at first... what I see as right can be wrong.” Malala also found her own outlook expanded: "There is not only one correct way of thinking. I learned to respect different opinions.”</w:t>
      </w:r>
    </w:p>
    <w:p w14:paraId="1D2022FC"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Instead of shunning conflict, participants learned to appreciate intellectual conflict as a valuable learning tool. “You need someone who is disagreeing with you,” Adiba said. “If everyone agrees with you, you don't learn as much... Now I can accept disagreement.”</w:t>
      </w:r>
    </w:p>
    <w:p w14:paraId="74EACD6C"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shift was captured in the Photovoice profiles with photos of study groups in collaboration. Fariha said: "The other photos are of groups; they show my active involvement in the group within a multicultural learning environment; they show my ability to work with people who come from different cultural and professional backgrounds and how they can learn from each other's different perspectives.”</w:t>
      </w:r>
    </w:p>
    <w:p w14:paraId="6ED7AB0F"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sz w:val="24"/>
          <w:szCs w:val="24"/>
        </w:rPr>
      </w:pPr>
      <w:bookmarkStart w:id="90" w:name="_18ufymnla37z" w:colFirst="0" w:colLast="0"/>
      <w:bookmarkStart w:id="91" w:name="_Toc235800207"/>
      <w:bookmarkEnd w:id="90"/>
      <w:r w:rsidRPr="009B13F9">
        <w:rPr>
          <w:rFonts w:ascii="Times New Roman" w:eastAsia="Times New Roman" w:hAnsi="Times New Roman" w:cs="Times New Roman"/>
          <w:b/>
          <w:bCs/>
          <w:color w:val="000000"/>
          <w:sz w:val="24"/>
          <w:szCs w:val="24"/>
        </w:rPr>
        <w:t>4.4.3 Negotiating Anxiety, Participation and Cognitive Risk-Taking</w:t>
      </w:r>
      <w:bookmarkEnd w:id="91"/>
    </w:p>
    <w:p w14:paraId="62CA3DFB"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Overcoming initial hesitation to develop confidence within an environment of differing perspectives was important. Maria remembered: "I didn’t talk that much in first year… hesitate to ask… worried teacher will ask me." Bushra had a similar experience: "Discussing in class is still hard for me. I'm not used to this practice... When I feel no one wants to hear me, I become silent."</w:t>
      </w:r>
    </w:p>
    <w:p w14:paraId="03B8B6C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Supportive peer dynamics over time enabled students to express alternative perspectives in a psychologically safe environment. Laila explained: "Right now, I have lots of information… </w:t>
      </w:r>
      <w:r w:rsidRPr="009B13F9">
        <w:rPr>
          <w:rFonts w:ascii="Times New Roman" w:eastAsia="Times New Roman" w:hAnsi="Times New Roman" w:cs="Times New Roman"/>
          <w:sz w:val="24"/>
          <w:szCs w:val="24"/>
        </w:rPr>
        <w:lastRenderedPageBreak/>
        <w:t>available resources… I’m more confident… I’m not hesitant for sharing ideas. I’m not afraid of judging. I really like the debate… I want to go and give the challenge”. "At first it was challenging to express my opinions…”, Malala said, “Here sharing ideas is important. I became more confident. I became more open-minded."</w:t>
      </w:r>
    </w:p>
    <w:p w14:paraId="6049B089"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Findings from the focus groups supported the idea that peer networks were a source of support when difficult tasks were required. Anika recalled: "Classmates do not hesitate to help. [When] data analysis was difficult… knowledgeable students helped others [through] peer mentoring."</w:t>
      </w:r>
    </w:p>
    <w:p w14:paraId="06065E5A"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sz w:val="24"/>
          <w:szCs w:val="24"/>
        </w:rPr>
      </w:pPr>
      <w:bookmarkStart w:id="92" w:name="_f23zhx4l1hya" w:colFirst="0" w:colLast="0"/>
      <w:bookmarkStart w:id="93" w:name="_Toc235800208"/>
      <w:bookmarkEnd w:id="92"/>
      <w:r w:rsidRPr="009B13F9">
        <w:rPr>
          <w:rFonts w:ascii="Times New Roman" w:eastAsia="Times New Roman" w:hAnsi="Times New Roman" w:cs="Times New Roman"/>
          <w:b/>
          <w:bCs/>
          <w:color w:val="000000"/>
          <w:sz w:val="24"/>
          <w:szCs w:val="24"/>
        </w:rPr>
        <w:t>4.4.4 Reconstructing Learning Identity Through Collective Knowledge Production</w:t>
      </w:r>
      <w:bookmarkEnd w:id="93"/>
    </w:p>
    <w:p w14:paraId="3D5E495C" w14:textId="4C6302B2"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Through a process of de-</w:t>
      </w:r>
      <w:r w:rsidR="001A737B" w:rsidRPr="009B13F9">
        <w:rPr>
          <w:rFonts w:ascii="Times New Roman" w:eastAsia="Times New Roman" w:hAnsi="Times New Roman" w:cs="Times New Roman"/>
          <w:sz w:val="24"/>
          <w:szCs w:val="24"/>
        </w:rPr>
        <w:t>individualization</w:t>
      </w:r>
      <w:r w:rsidRPr="009B13F9">
        <w:rPr>
          <w:rFonts w:ascii="Times New Roman" w:eastAsia="Times New Roman" w:hAnsi="Times New Roman" w:cs="Times New Roman"/>
          <w:sz w:val="24"/>
          <w:szCs w:val="24"/>
        </w:rPr>
        <w:t>, away from exam-based learning, the participants began to build their academic identity as active members of their cohorts. Maria commented on this change: "Participation was better in 2nd year… more confidence than 1st year… 2nd year improved me.” Tasnim shared: "Undergraduate journey became more towards rote memorization, excluding personal thoughts and student voice. I got lost, then I came back and found my voice again… I became more independent thinker.” Bushra said, "My life was a book before I came here, it has become a library after I came here.”</w:t>
      </w:r>
    </w:p>
    <w:p w14:paraId="65311DC5"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evolution was captured in the Photovoice materials in milestone reflections and symbolic objects. “The graduation pop up card… is a reminder of where I came from and a motivation to do more and more in the future,” Fariha shared. Laila pointed out her growing awareness of the world: "Study of books from all over the world can teach us beyond our culture... Expanding worldview; Broadening perspectives. Knowledge beyond local context.”</w:t>
      </w:r>
    </w:p>
    <w:p w14:paraId="52A7E335" w14:textId="77777777" w:rsidR="005450E9" w:rsidRPr="009B13F9" w:rsidRDefault="005450E9" w:rsidP="009B13F9">
      <w:pPr>
        <w:spacing w:line="480" w:lineRule="auto"/>
        <w:rPr>
          <w:rFonts w:ascii="Times New Roman" w:eastAsia="Times New Roman" w:hAnsi="Times New Roman" w:cs="Times New Roman"/>
          <w:b/>
          <w:bCs/>
          <w:sz w:val="24"/>
          <w:szCs w:val="24"/>
        </w:rPr>
      </w:pPr>
      <w:bookmarkStart w:id="94" w:name="_awd15zstpcwf" w:colFirst="0" w:colLast="0"/>
      <w:bookmarkEnd w:id="94"/>
      <w:r w:rsidRPr="009B13F9">
        <w:rPr>
          <w:rFonts w:ascii="Times New Roman" w:eastAsia="Times New Roman" w:hAnsi="Times New Roman" w:cs="Times New Roman"/>
          <w:b/>
          <w:bCs/>
          <w:sz w:val="24"/>
          <w:szCs w:val="24"/>
        </w:rPr>
        <w:br w:type="page"/>
      </w:r>
    </w:p>
    <w:p w14:paraId="284FF61E" w14:textId="1DD6C09C" w:rsidR="003D5428" w:rsidRPr="009B13F9" w:rsidRDefault="00000000" w:rsidP="009B13F9">
      <w:pPr>
        <w:pStyle w:val="Heading2"/>
        <w:keepNext w:val="0"/>
        <w:keepLines w:val="0"/>
        <w:spacing w:before="0" w:after="80" w:line="480" w:lineRule="auto"/>
        <w:rPr>
          <w:rFonts w:ascii="Times New Roman" w:eastAsia="Times New Roman" w:hAnsi="Times New Roman" w:cs="Times New Roman"/>
          <w:sz w:val="24"/>
          <w:szCs w:val="24"/>
        </w:rPr>
      </w:pPr>
      <w:bookmarkStart w:id="95" w:name="_Toc235800209"/>
      <w:r w:rsidRPr="009B13F9">
        <w:rPr>
          <w:rFonts w:ascii="Times New Roman" w:eastAsia="Times New Roman" w:hAnsi="Times New Roman" w:cs="Times New Roman"/>
          <w:b/>
          <w:bCs/>
          <w:sz w:val="24"/>
          <w:szCs w:val="24"/>
        </w:rPr>
        <w:lastRenderedPageBreak/>
        <w:t>4.5 Theme 3: Affective Self-Regulation and the Re-Anchoring of Education as a Civic Resilience Strategy</w:t>
      </w:r>
      <w:bookmarkEnd w:id="95"/>
    </w:p>
    <w:p w14:paraId="1EA1B7CA"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theme illustrates how participants negotiated the emotional, psychological and identity aspects of learning in a high-pressure graduate context in response to the central research question. It is rooted in categories of affective regulation and systemic friction, and reveals the deep emotionality of metacognitive regulation, as well as its embodied and socially situated aspects. In response to academic pressures, language changes, and socio-political turmoil, students' lived learning strategies went beyond the traditional cognitive approach to include affectively-oriented strategies that involved well-being routines, identity negotiation, and civic purpose. </w:t>
      </w:r>
    </w:p>
    <w:p w14:paraId="3D148086"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sz w:val="24"/>
          <w:szCs w:val="24"/>
        </w:rPr>
      </w:pPr>
      <w:bookmarkStart w:id="96" w:name="_zc5gj0g3fu0c" w:colFirst="0" w:colLast="0"/>
      <w:bookmarkStart w:id="97" w:name="_Toc235800210"/>
      <w:bookmarkEnd w:id="96"/>
      <w:r w:rsidRPr="009B13F9">
        <w:rPr>
          <w:rFonts w:ascii="Times New Roman" w:eastAsia="Times New Roman" w:hAnsi="Times New Roman" w:cs="Times New Roman"/>
          <w:b/>
          <w:bCs/>
          <w:color w:val="000000"/>
          <w:sz w:val="24"/>
          <w:szCs w:val="24"/>
        </w:rPr>
        <w:t>4.5.1 Affective Strain and the Emotional Landscape of Graduate Learning</w:t>
      </w:r>
      <w:bookmarkEnd w:id="97"/>
    </w:p>
    <w:p w14:paraId="56935ABD"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Participants reported high levels of emotional burden as they navigated through multiple tasks, language modifications and previous disruptions. Nusrat relayed her initial discomfort: "For the first two months, I was dying… the grading system is very tough here… I did not used to sleep at all. I was stressed… I have nightmares about my readings." Khadija added: "It was my first time in English medium school… I spent lots of minutes for one word… I am getting too much stress… I withdraw three or four of my courses [and] now I’m too much stressed."</w:t>
      </w:r>
    </w:p>
    <w:p w14:paraId="6E0CD821" w14:textId="0A7E8B50"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emotional stress had a direct impact on cognitive involvement. "I have cried a lot of nights", Nusrat </w:t>
      </w:r>
      <w:r w:rsidR="001A737B" w:rsidRPr="009B13F9">
        <w:rPr>
          <w:rFonts w:ascii="Times New Roman" w:eastAsia="Times New Roman" w:hAnsi="Times New Roman" w:cs="Times New Roman"/>
          <w:sz w:val="24"/>
          <w:szCs w:val="24"/>
        </w:rPr>
        <w:t>said, “I</w:t>
      </w:r>
      <w:r w:rsidRPr="009B13F9">
        <w:rPr>
          <w:rFonts w:ascii="Times New Roman" w:eastAsia="Times New Roman" w:hAnsi="Times New Roman" w:cs="Times New Roman"/>
          <w:sz w:val="24"/>
          <w:szCs w:val="24"/>
        </w:rPr>
        <w:t xml:space="preserve"> barely survived… classroom anxiety… I still carry [educational trauma] somewhere around." Zarmina attributed these academic challenges to the larger geopolitical pressures: "Finished high school in a tough situation… experienced isolation, depression… Afghan students cannot express well… [learning] depends on my mood and deadlines."</w:t>
      </w:r>
    </w:p>
    <w:p w14:paraId="3EDD50BC" w14:textId="77777777" w:rsidR="005450E9" w:rsidRPr="009B13F9" w:rsidRDefault="005450E9" w:rsidP="009B13F9">
      <w:pPr>
        <w:spacing w:line="480" w:lineRule="auto"/>
        <w:rPr>
          <w:rFonts w:ascii="Times New Roman" w:eastAsia="Times New Roman" w:hAnsi="Times New Roman" w:cs="Times New Roman"/>
          <w:b/>
          <w:bCs/>
          <w:color w:val="000000"/>
          <w:sz w:val="24"/>
          <w:szCs w:val="24"/>
        </w:rPr>
      </w:pPr>
      <w:bookmarkStart w:id="98" w:name="_kbhli6b2f74f" w:colFirst="0" w:colLast="0"/>
      <w:bookmarkEnd w:id="98"/>
      <w:r w:rsidRPr="009B13F9">
        <w:rPr>
          <w:rFonts w:ascii="Times New Roman" w:eastAsia="Times New Roman" w:hAnsi="Times New Roman" w:cs="Times New Roman"/>
          <w:b/>
          <w:bCs/>
          <w:color w:val="000000"/>
          <w:sz w:val="24"/>
          <w:szCs w:val="24"/>
        </w:rPr>
        <w:br w:type="page"/>
      </w:r>
    </w:p>
    <w:p w14:paraId="7DCC5129" w14:textId="0DC44D7C" w:rsidR="003D5428" w:rsidRPr="009B13F9" w:rsidRDefault="00000000" w:rsidP="009B13F9">
      <w:pPr>
        <w:pStyle w:val="Heading3"/>
        <w:keepNext w:val="0"/>
        <w:keepLines w:val="0"/>
        <w:spacing w:before="0" w:line="480" w:lineRule="auto"/>
        <w:rPr>
          <w:rFonts w:ascii="Times New Roman" w:eastAsia="Times New Roman" w:hAnsi="Times New Roman" w:cs="Times New Roman"/>
          <w:sz w:val="24"/>
          <w:szCs w:val="24"/>
        </w:rPr>
      </w:pPr>
      <w:bookmarkStart w:id="99" w:name="_Toc235800211"/>
      <w:r w:rsidRPr="009B13F9">
        <w:rPr>
          <w:rFonts w:ascii="Times New Roman" w:eastAsia="Times New Roman" w:hAnsi="Times New Roman" w:cs="Times New Roman"/>
          <w:b/>
          <w:bCs/>
          <w:color w:val="000000"/>
          <w:sz w:val="24"/>
          <w:szCs w:val="24"/>
        </w:rPr>
        <w:lastRenderedPageBreak/>
        <w:t>4.5.2 Self-Regulation Through Wellbeing Practices and Environmental Care</w:t>
      </w:r>
      <w:bookmarkEnd w:id="99"/>
    </w:p>
    <w:p w14:paraId="225296B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Participants intentionally incorporated personal well-being activities into their learning to maintain cognitive engagement. Khadija explained how she copes with stress: "I take distance from that [study material]... maybe I dance or recite poem or cook, then I come again with more focus. Take a break... I do the things that satisfy me [for] emotional self-regulation.”</w:t>
      </w:r>
    </w:p>
    <w:p w14:paraId="556DD2C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Photovoice data provided an example of how students used comfort items to make their own learning environment more comfortable and to help manage stress. Nusrat said that her study table is decorated with artificial flowers because she doesn't want it to be a boring place, there are some fictional books there as well, "Sometime when study gets overwhelming I read some pages of fiction... Some quranic verse I whisper everyday before reading... so that I never forget my roots.”</w:t>
      </w:r>
    </w:p>
    <w:p w14:paraId="713D3C98" w14:textId="7AE621CE"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Tasnim also explained how she </w:t>
      </w:r>
      <w:r w:rsidR="001A737B" w:rsidRPr="009B13F9">
        <w:rPr>
          <w:rFonts w:ascii="Times New Roman" w:eastAsia="Times New Roman" w:hAnsi="Times New Roman" w:cs="Times New Roman"/>
          <w:sz w:val="24"/>
          <w:szCs w:val="24"/>
        </w:rPr>
        <w:t>organized</w:t>
      </w:r>
      <w:r w:rsidRPr="009B13F9">
        <w:rPr>
          <w:rFonts w:ascii="Times New Roman" w:eastAsia="Times New Roman" w:hAnsi="Times New Roman" w:cs="Times New Roman"/>
          <w:sz w:val="24"/>
          <w:szCs w:val="24"/>
        </w:rPr>
        <w:t xml:space="preserve"> the wellness items along with her academic material to remain focused: "You will also see some tablets which represents my paracetamol which is needed for my migraine and a water bottle... followed by my mosquito bat and staples. You will also see a lip liner, lipgloss and sunscreen which is necessary to keep my skin and my head fresh and healthy."</w:t>
      </w:r>
    </w:p>
    <w:p w14:paraId="554A748D"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sz w:val="24"/>
          <w:szCs w:val="24"/>
        </w:rPr>
      </w:pPr>
      <w:bookmarkStart w:id="100" w:name="_bbaa80dnrf0w" w:colFirst="0" w:colLast="0"/>
      <w:bookmarkStart w:id="101" w:name="_Toc235800212"/>
      <w:bookmarkEnd w:id="100"/>
      <w:r w:rsidRPr="009B13F9">
        <w:rPr>
          <w:rFonts w:ascii="Times New Roman" w:eastAsia="Times New Roman" w:hAnsi="Times New Roman" w:cs="Times New Roman"/>
          <w:b/>
          <w:bCs/>
          <w:color w:val="000000"/>
          <w:sz w:val="24"/>
          <w:szCs w:val="24"/>
        </w:rPr>
        <w:t>4.5.3 From Performance Orientation to Meaning-Making and Civic Reorientation</w:t>
      </w:r>
      <w:bookmarkEnd w:id="101"/>
    </w:p>
    <w:p w14:paraId="24661D44"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motivation of the students changed from getting a good grade to using knowledge in their home communities as they advanced through the program. This reorientation was explained by Laila: "Before it was memorization... I was only thinking about how to pass the class, about the score... Now [it has] completely changed... we can relate each topics to our context, based on our culture.”</w:t>
      </w:r>
    </w:p>
    <w:p w14:paraId="7C7D7D96"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lastRenderedPageBreak/>
        <w:t>Education was gradually redefined as a key instrument in the empowerment and structural transformation of communities. Lailuma said, "My dream is to grow my knowledge in education, I don't think of job now, I am thinking of making good impact.” Zarmina wanted to be "a teacher or leader" to "empower the girls" and Fariha wanted "education should be more democratic, where students have more chance to participate, think critically, engage responsibly in public life.”</w:t>
      </w:r>
    </w:p>
    <w:p w14:paraId="7547D30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focus group findings supported the idea that theory was linked to regional educational needs to further analytical engagement. Particularly, Laila said, "linking academic ideas to the Afghan education system and community-based projects has helped me to learn in a deeper way.”</w:t>
      </w:r>
    </w:p>
    <w:p w14:paraId="5F78D21F"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sz w:val="24"/>
          <w:szCs w:val="24"/>
        </w:rPr>
      </w:pPr>
      <w:bookmarkStart w:id="102" w:name="_sqwrauibbwxu" w:colFirst="0" w:colLast="0"/>
      <w:bookmarkStart w:id="103" w:name="_Toc235800213"/>
      <w:bookmarkEnd w:id="102"/>
      <w:r w:rsidRPr="009B13F9">
        <w:rPr>
          <w:rFonts w:ascii="Times New Roman" w:eastAsia="Times New Roman" w:hAnsi="Times New Roman" w:cs="Times New Roman"/>
          <w:b/>
          <w:bCs/>
          <w:color w:val="000000"/>
          <w:sz w:val="24"/>
          <w:szCs w:val="24"/>
        </w:rPr>
        <w:t>4.5.4 Identity Transformation and the Re-Construction of the Learner Self</w:t>
      </w:r>
      <w:bookmarkEnd w:id="103"/>
    </w:p>
    <w:p w14:paraId="3921C9DA"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Finally, participants' emotional and academic transitions led to a sense of greater intellectual agency. Laila talked about how she had changed: "I changed my perspective completely, from memorization base to being practical, I'm not hesitant for sharing ideas, this journey was life changing for me, I understand more deeply myself.”</w:t>
      </w:r>
    </w:p>
    <w:p w14:paraId="60497AD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Tasnim expressed a similar feeling of regaining her voice following previous disruptions in her education: "I lost my identity during my undergrad years. I was discouraged to use my own voice... I got lost, then I came back and found my voice again... I became more independent thinker, became more integrated learner.”</w:t>
      </w:r>
    </w:p>
    <w:p w14:paraId="7DF9C73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Through symbolic objects, the photovoice submissions demonstrated this personal growth as a key aspect of self-regulated learning and affective resilience and community purpose emerged as key factors. This relationship was summarized by Nusrat when she said that her past </w:t>
      </w:r>
      <w:r w:rsidRPr="009B13F9">
        <w:rPr>
          <w:rFonts w:ascii="Times New Roman" w:eastAsia="Times New Roman" w:hAnsi="Times New Roman" w:cs="Times New Roman"/>
          <w:sz w:val="24"/>
          <w:szCs w:val="24"/>
        </w:rPr>
        <w:lastRenderedPageBreak/>
        <w:t>textbooks are her foundation, her background and her future: "...carrying myself forward with my studies standing as my background, foundation and future.”</w:t>
      </w:r>
    </w:p>
    <w:p w14:paraId="133ED7BA" w14:textId="77777777" w:rsidR="002F3B2B" w:rsidRPr="009B13F9" w:rsidRDefault="002F3B2B" w:rsidP="009B13F9">
      <w:pPr>
        <w:spacing w:line="480" w:lineRule="auto"/>
        <w:rPr>
          <w:rFonts w:ascii="Times New Roman" w:eastAsia="Times New Roman" w:hAnsi="Times New Roman" w:cs="Times New Roman"/>
          <w:b/>
          <w:bCs/>
          <w:sz w:val="24"/>
          <w:szCs w:val="24"/>
        </w:rPr>
      </w:pPr>
      <w:bookmarkStart w:id="104" w:name="_p9fxk4blho24" w:colFirst="0" w:colLast="0"/>
      <w:bookmarkEnd w:id="104"/>
      <w:r w:rsidRPr="009B13F9">
        <w:rPr>
          <w:rFonts w:ascii="Times New Roman" w:eastAsia="Times New Roman" w:hAnsi="Times New Roman" w:cs="Times New Roman"/>
          <w:b/>
          <w:bCs/>
          <w:sz w:val="24"/>
          <w:szCs w:val="24"/>
        </w:rPr>
        <w:br w:type="page"/>
      </w:r>
    </w:p>
    <w:p w14:paraId="725B9B22" w14:textId="08A73F94" w:rsidR="003D5428" w:rsidRPr="009B13F9" w:rsidRDefault="00000000" w:rsidP="009B13F9">
      <w:pPr>
        <w:pStyle w:val="Heading1"/>
        <w:keepNext w:val="0"/>
        <w:keepLines w:val="0"/>
        <w:spacing w:before="480" w:line="480" w:lineRule="auto"/>
        <w:jc w:val="center"/>
        <w:rPr>
          <w:rFonts w:ascii="Times New Roman" w:eastAsia="Times New Roman" w:hAnsi="Times New Roman" w:cs="Times New Roman"/>
          <w:b/>
          <w:bCs/>
          <w:sz w:val="24"/>
          <w:szCs w:val="24"/>
        </w:rPr>
      </w:pPr>
      <w:bookmarkStart w:id="105" w:name="_Toc235800214"/>
      <w:r w:rsidRPr="009B13F9">
        <w:rPr>
          <w:rFonts w:ascii="Times New Roman" w:eastAsia="Times New Roman" w:hAnsi="Times New Roman" w:cs="Times New Roman"/>
          <w:b/>
          <w:bCs/>
          <w:sz w:val="24"/>
          <w:szCs w:val="24"/>
        </w:rPr>
        <w:lastRenderedPageBreak/>
        <w:t>5. Discussion</w:t>
      </w:r>
      <w:bookmarkEnd w:id="105"/>
    </w:p>
    <w:p w14:paraId="3F5B5CC4"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106" w:name="_cuwv9c9vumoq" w:colFirst="0" w:colLast="0"/>
      <w:bookmarkStart w:id="107" w:name="_Toc235800215"/>
      <w:bookmarkEnd w:id="106"/>
      <w:r w:rsidRPr="009B13F9">
        <w:rPr>
          <w:rFonts w:ascii="Times New Roman" w:eastAsia="Times New Roman" w:hAnsi="Times New Roman" w:cs="Times New Roman"/>
          <w:b/>
          <w:bCs/>
          <w:sz w:val="24"/>
          <w:szCs w:val="24"/>
        </w:rPr>
        <w:t>5.1 Introduction</w:t>
      </w:r>
      <w:bookmarkEnd w:id="107"/>
    </w:p>
    <w:p w14:paraId="2F0296F5"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present study investigated the process of negotiation and transformation of metacognitive learning strategies of the students of a women university in Chattogram, Bangladesh in a multicultural graduate classroom in the Master of Arts in Education program. The results based on triangulation of the qualitative data indicate that metacognition is not only a cognitive process of an individual. It is, instead, a process that is socially negotiated, culturally situated, emotionally mediated, and constantly evolving, and is influenced by previous educational experiences, intercultural interactions, technological resources and identity development.</w:t>
      </w:r>
    </w:p>
    <w:p w14:paraId="116600FC"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results are structured around three main themes: tactical scaffolding in relation to pedagogical transitions, peer mediated transitions towards epistemological pluralism and affectively grounded civic reorientation. These findings are explained in the context of Flavell's (1979) theory of metacognition, sociocultural theory (Vygotsky, 1978), theory of epistemological development (Hofer &amp; Pintrich, 1997; Perry, 1970) and culturally responsive views of learning (Gay, 2018; Ladson-Billings, 1995; Paris &amp; Alim, 2017). This integration shows that metacognitive strategies in internationalized higher education are not only limited to the traditional, individualistic, western conception of metacognition in which self-regulation is perceived as an individual, self-contained, cognitive loop (Flavell, 1979; Schraw &amp; Moshman, 1995). This study compares these traditional models to more recent, non-Western, holistic views and suggests that metacognitive regulation is a socially shared, culturally embedded, affectively shaped and identity-based practice.</w:t>
      </w:r>
    </w:p>
    <w:p w14:paraId="11407E12"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sz w:val="24"/>
          <w:szCs w:val="24"/>
        </w:rPr>
      </w:pPr>
      <w:bookmarkStart w:id="108" w:name="_hanwcmem5kmx" w:colFirst="0" w:colLast="0"/>
      <w:bookmarkStart w:id="109" w:name="_Toc235800216"/>
      <w:bookmarkEnd w:id="108"/>
      <w:r w:rsidRPr="009B13F9">
        <w:rPr>
          <w:rFonts w:ascii="Times New Roman" w:eastAsia="Times New Roman" w:hAnsi="Times New Roman" w:cs="Times New Roman"/>
          <w:b/>
          <w:bCs/>
          <w:sz w:val="24"/>
          <w:szCs w:val="24"/>
        </w:rPr>
        <w:lastRenderedPageBreak/>
        <w:t>5.2 Discussion of Theme 1: Tactical Scaffolding and Environment Engineering in Response to Pedagogical Shock</w:t>
      </w:r>
      <w:bookmarkEnd w:id="109"/>
    </w:p>
    <w:p w14:paraId="723126B1" w14:textId="06F27D34"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first theme indicated that participants actively adapted their work environment and external scaffolds to the transition in a multicultural graduate program. Students </w:t>
      </w:r>
      <w:r w:rsidR="00AC203F" w:rsidRPr="009B13F9">
        <w:rPr>
          <w:rFonts w:ascii="Times New Roman" w:eastAsia="Times New Roman" w:hAnsi="Times New Roman" w:cs="Times New Roman"/>
          <w:sz w:val="24"/>
          <w:szCs w:val="24"/>
        </w:rPr>
        <w:t>organized</w:t>
      </w:r>
      <w:r w:rsidRPr="009B13F9">
        <w:rPr>
          <w:rFonts w:ascii="Times New Roman" w:eastAsia="Times New Roman" w:hAnsi="Times New Roman" w:cs="Times New Roman"/>
          <w:sz w:val="24"/>
          <w:szCs w:val="24"/>
        </w:rPr>
        <w:t>, monitored and evaluated their learning processes using calendars, diaries, sticky notes, task monitoring diaries, digital tools and multimodal note taking. The behaviors indicate that metacognitive regulation is shared among material, technological and environmental resources and not only in the mind of the individual.</w:t>
      </w:r>
    </w:p>
    <w:p w14:paraId="62A6504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Cognitively, these findings corroborate Flavell's (1979) idea that successful learning is based on planning, monitoring and evaluating the thinking process. Planning was done using structured scheduling and task prioritization. Monitoring was seen in students' use of technology and note systems to check for understanding. Evaluation was manifested in self-auditing and targeted re-reading as well as changes in study strategies. Participants showed accurate awareness of their cognitive profile, and they chose strategies to help their learning, in line with Flavell's (1979) framework.</w:t>
      </w:r>
    </w:p>
    <w:p w14:paraId="2163B1DB"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But the results also have some important implications for classical models. Traditional approaches focus on internal processing (Flavell, 1979; Schraw &amp; Dennison, 1994), but in this study, participants externalized cognitive regulation by using material tools and environmental changes. Physical study space design, wall calendars and tracking systems served as external memory supports, which helped to decrease cognitive load and support self-regulation. This shows that metacognitive regulation in various graduate contexts is an ongoing process in relation to physical and technological contexts.</w:t>
      </w:r>
    </w:p>
    <w:p w14:paraId="08AAD928"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lastRenderedPageBreak/>
        <w:t>This spatial extension is in line with the sociocultural approaches to learning. Vygotsky (1978) proposed that higher order cognitive functions are mediated by cultural tools and social resources and not developed in isolation. The results indicate that AI tools like ChatGPT, NotebookLM and Perplexity acted as modern mediational tools that facilitated real-time understanding, vocabulary monitoring and engagement in learning. The participants did not consider AI as a replacement for learning. Rather, they used it as a scaffolding tool to access challenging academic texts. AI was thus a kind of cognitive mediation, which assisted in filling in gaps between students' existing knowledge and the language requirements of academic discourse at graduate level.</w:t>
      </w:r>
    </w:p>
    <w:p w14:paraId="1D5988A8"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result aligns with new studies demonstrating that AI can serve as a metacognitive support tool for understanding text and for self-monitoring and strategic learning (Akinrinola et al., 2025; Chen et al., 2024). As in earlier research, participants were asked to first use AI to summarize the arguments and clarify unfamiliar concepts in the original texts. The current study, however, offers a more nuanced perspective by demonstrating the importance of the use of AI for students who were making major linguistic shifts. AI wasn't just about speeding up the processing; it was about breaking down language barriers and enabling students to engage with academic communities, where English is not the primary language.</w:t>
      </w:r>
    </w:p>
    <w:p w14:paraId="0EDC668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results also corroborate the literature in the field of international student adaptation. Past studies demonstrate that when students enter new academic cultures, they often encounter problems with language, participation, and pedagogical practices (Durkin, 2008; Kim &amp; Lee, 2021). This study's participants had faced acute operational friction, which in cross-cultural literature is known as "pedagogical shock" (Hutchison, 2005). Beyond cultural shock, Hutchison (2005) calls pedagogical shock the cognitive dissonance that happens when the learner </w:t>
      </w:r>
      <w:r w:rsidRPr="009B13F9">
        <w:rPr>
          <w:rFonts w:ascii="Times New Roman" w:eastAsia="Times New Roman" w:hAnsi="Times New Roman" w:cs="Times New Roman"/>
          <w:sz w:val="24"/>
          <w:szCs w:val="24"/>
        </w:rPr>
        <w:lastRenderedPageBreak/>
        <w:t>encounters a pedagogical model that is fundamentally at odds with the communication rules and assessment expectations of the previous educational experiences. In this study, this shock was deliberately created as students moved from teacher-oriented, examination-based undergraduate education to a discussion-based, critical analysis graduate education.</w:t>
      </w:r>
    </w:p>
    <w:p w14:paraId="3857210A"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wide implementation of planning systems, AI tools and tailored workspaces are seen as adaptive responses to this pedagogical transition. In particular, generative AI acted as a real-time linguistic scaffolding to facilitate students' alignment with a student-centered learning style. Multilingual scholars leveraged AI to break down intricate phrasing and practice conceptual arguments prior to seminars, thus reducing their participation anxiety in a safe environment. This technological mediation successfully moved their attention from mere survival of comprehension to critical evaluation. In this way, the use of AI tools became a vital adaptive strategy, enabling the creation of a space within the seminar that was accessible for dialogue and active cognitive risk-taking.</w:t>
      </w:r>
    </w:p>
    <w:p w14:paraId="019B531B" w14:textId="60F22D7F"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Moreover, the results of photovoice add to this interpretation and show that metacognitive regulation is physically situated in the learning space of the participants. Students visually recorded how their </w:t>
      </w:r>
      <w:r w:rsidR="0002289B" w:rsidRPr="009B13F9">
        <w:rPr>
          <w:rFonts w:ascii="Times New Roman" w:eastAsia="Times New Roman" w:hAnsi="Times New Roman" w:cs="Times New Roman"/>
          <w:sz w:val="24"/>
          <w:szCs w:val="24"/>
        </w:rPr>
        <w:t>self-monitoring</w:t>
      </w:r>
      <w:r w:rsidRPr="009B13F9">
        <w:rPr>
          <w:rFonts w:ascii="Times New Roman" w:eastAsia="Times New Roman" w:hAnsi="Times New Roman" w:cs="Times New Roman"/>
          <w:sz w:val="24"/>
          <w:szCs w:val="24"/>
        </w:rPr>
        <w:t xml:space="preserve"> was incorporated into the everyday spaces using wall charts, task logs, notebooks and organized digital interfaces. The results lend weight to the view that learning strategies are context-based practices that are influenced by environmental factors and not exclusively by internal mental processes (Zimmerman, 2008). The physical structure of a study space is a functional mechanism that allows the </w:t>
      </w:r>
      <w:r w:rsidR="00C25F99" w:rsidRPr="009B13F9">
        <w:rPr>
          <w:rFonts w:ascii="Times New Roman" w:eastAsia="Times New Roman" w:hAnsi="Times New Roman" w:cs="Times New Roman"/>
          <w:sz w:val="24"/>
          <w:szCs w:val="24"/>
        </w:rPr>
        <w:t>externalization</w:t>
      </w:r>
      <w:r w:rsidRPr="009B13F9">
        <w:rPr>
          <w:rFonts w:ascii="Times New Roman" w:eastAsia="Times New Roman" w:hAnsi="Times New Roman" w:cs="Times New Roman"/>
          <w:sz w:val="24"/>
          <w:szCs w:val="24"/>
        </w:rPr>
        <w:t>, execution and documentation of metacognitive regulation by the participants.</w:t>
      </w:r>
    </w:p>
    <w:p w14:paraId="3ECFD773"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In sum, metacognitive strategies in multicultural graduate education can be thought of as systems of regulation that are distributed across learners, technologies, material environments </w:t>
      </w:r>
      <w:r w:rsidRPr="009B13F9">
        <w:rPr>
          <w:rFonts w:ascii="Times New Roman" w:eastAsia="Times New Roman" w:hAnsi="Times New Roman" w:cs="Times New Roman"/>
          <w:sz w:val="24"/>
          <w:szCs w:val="24"/>
        </w:rPr>
        <w:lastRenderedPageBreak/>
        <w:t>and cultural contexts. The results confirm the classical cognitive models that focus on planning, monitoring and evaluation, but show that these processes are dynamically performed with the help of external scaffolds and sociocultural tools. Thus, the present study challenges the traditional understanding of metacognition by demonstrating that effective regulation in multicultural higher education requires a learner to strategically utilize environmental, technological and linguistic resources.</w:t>
      </w:r>
    </w:p>
    <w:p w14:paraId="468929CD"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sz w:val="24"/>
          <w:szCs w:val="24"/>
        </w:rPr>
      </w:pPr>
      <w:bookmarkStart w:id="110" w:name="_wybdyckd6cnj" w:colFirst="0" w:colLast="0"/>
      <w:bookmarkStart w:id="111" w:name="_Toc235800217"/>
      <w:bookmarkEnd w:id="110"/>
      <w:r w:rsidRPr="009B13F9">
        <w:rPr>
          <w:rFonts w:ascii="Times New Roman" w:eastAsia="Times New Roman" w:hAnsi="Times New Roman" w:cs="Times New Roman"/>
          <w:b/>
          <w:bCs/>
          <w:sz w:val="24"/>
          <w:szCs w:val="24"/>
        </w:rPr>
        <w:t>5.3 Discussion of Theme 2: From Monolithic Truth to Epistemological Pluralism Through Peer-Mediated Disagreement</w:t>
      </w:r>
      <w:bookmarkEnd w:id="111"/>
    </w:p>
    <w:p w14:paraId="1715664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second theme brought out the transformation of participants' notions of knowledge, learning and academic authority in the multicultural classroom through interaction. Students reported a shift from teacher-centered, book-centered, and one-answer-is-right educational environments to a seminar where many different interpretations, intellectual conflict and multiple points of view were acceptable. This change was attributed to ongoing interaction with students from other cultural backgrounds, as well as peer mediated learning activities that facilitated joint questioning and challenging. The results indicate that the interaction between cultures is the main trigger for metacognitive development and epistemological transformation.</w:t>
      </w:r>
    </w:p>
    <w:p w14:paraId="2B028718" w14:textId="15C2248E"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Many of the participants had studied in highly structured and teacher-</w:t>
      </w:r>
      <w:r w:rsidR="0083228F" w:rsidRPr="009B13F9">
        <w:rPr>
          <w:rFonts w:ascii="Times New Roman" w:eastAsia="Times New Roman" w:hAnsi="Times New Roman" w:cs="Times New Roman"/>
          <w:sz w:val="24"/>
          <w:szCs w:val="24"/>
        </w:rPr>
        <w:t>centered</w:t>
      </w:r>
      <w:r w:rsidRPr="009B13F9">
        <w:rPr>
          <w:rFonts w:ascii="Times New Roman" w:eastAsia="Times New Roman" w:hAnsi="Times New Roman" w:cs="Times New Roman"/>
          <w:sz w:val="24"/>
          <w:szCs w:val="24"/>
        </w:rPr>
        <w:t xml:space="preserve"> systems before they entered the MA course of the study site, where it was not common to question teachers and success was defined as the ability to reproduce approved material. These accounts support literature that shows students from examination-based cultures often come to university with the belief that knowledge is static, enduring and transferred unidirectionally from authority (Durkin, 2008; Hofer &amp; Pintrich, 1997). Such a dependence on memorization and single-answer models are epistemological stances that often correspond to lower levels of intellectual </w:t>
      </w:r>
      <w:r w:rsidRPr="009B13F9">
        <w:rPr>
          <w:rFonts w:ascii="Times New Roman" w:eastAsia="Times New Roman" w:hAnsi="Times New Roman" w:cs="Times New Roman"/>
          <w:sz w:val="24"/>
          <w:szCs w:val="24"/>
        </w:rPr>
        <w:lastRenderedPageBreak/>
        <w:t>development, in which knowledge is considered as absolute and not contextual or built (Perry, 1970).</w:t>
      </w:r>
    </w:p>
    <w:p w14:paraId="1B05658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results, however, show that these assumptions were challenged by participation in a multicultural classroom at the graduate level. Through ongoing engagement with other participants from different national, linguistic and socio-political backgrounds, participants experienced conflicting interpretations of the texts, conflicting explanations of educational phenomena, and conflicting lived histories that were not amenable to a single authoritative interpretation. This led students to an awareness that educational issues are differently perceived in different cultural and social contexts.</w:t>
      </w:r>
    </w:p>
    <w:p w14:paraId="3913F223"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change in structure very much reflects Perry's (1970) model of intellectual and ethical development, which describes cognitive development moving from dualistic right/wrong thinking to a contextual relativism, where more than one viewpoint is possible. The shift from epistemological dualism to epistemological pluralism is reflected in the descriptions of the participants saying that "everyone has his opinion" and "there is no only one correct way of thinking. The participants did not just acquire content, but an epistemological shift in their perception of the nature of knowledge was observed.</w:t>
      </w:r>
    </w:p>
    <w:p w14:paraId="4D3CEE3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results are also consistent with the position of Hofer and Pintrich (1997) that epistemological beliefs influence the evaluation of evidence and the construction of understanding. Growing acceptance of the participants to alternative interpretations indicates that the participants have moved away from understanding knowledge as static and handed down, to knowledge as complex, contextual and socially negotiated. Importantly, this change was not accomplished by formal education only. Rather, it came as a result of frequent contact with other </w:t>
      </w:r>
      <w:r w:rsidRPr="009B13F9">
        <w:rPr>
          <w:rFonts w:ascii="Times New Roman" w:eastAsia="Times New Roman" w:hAnsi="Times New Roman" w:cs="Times New Roman"/>
          <w:sz w:val="24"/>
          <w:szCs w:val="24"/>
        </w:rPr>
        <w:lastRenderedPageBreak/>
        <w:t>classmates who had different ideas than those held by the participants, and who were able to stretch the limits of participants' thinking.</w:t>
      </w:r>
    </w:p>
    <w:p w14:paraId="358CD64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Perry's (1970) and Hofer and Pintrich's (1997) schemas can be used to account for the developmental process of this transformation, but the results indicate that multicultural interaction was the precise mechanism that effected this epistemological development. This is in line with Vygotsky's (1978) sociocultural theory, which states that cognitive development occurs from social interaction and collaborative activity. Students often reported using classmates to explain ideas, discuss readings, and compare interpretations and negotiate the meaning of texts. Learning thus functioned as a socially located, rather than an isolated and internal cognitive process.</w:t>
      </w:r>
    </w:p>
    <w:p w14:paraId="77064BF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results also provide further support for the sociocultural approach to learning, as they demonstrate that peer interaction did not just support understanding of the content of the courses, but also changed the ways of knowing of the participants. Peers were not just a source of academic assistance, but also intellectual challenges, unfamiliar realities, and challenges to cultural assumptions and exposure to alternative worldviews. These interactions enabled disagreement to become a means of productive learning instead of a challenge to authority or social harmony. Participants understood that cognitive conflict was a chance to reflect and grow, and that metacognitive development was very intertwined with epistemological change.</w:t>
      </w:r>
    </w:p>
    <w:p w14:paraId="479E516C" w14:textId="6F8D4250"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result confirms earlier studies that have shown that diversity in learning environments leads to critical thinking, perspective taking and cognitive complexity (Gurin et al., 2002; Hurtado, 2005). Encounters with diverse peers disrupts fixed thinking and promotes in-depth discussion of complex social issues. The current study adds to this literature by providing a picture of the unfolding of these processes in a multicultural graduate classroom, where the </w:t>
      </w:r>
      <w:r w:rsidRPr="009B13F9">
        <w:rPr>
          <w:rFonts w:ascii="Times New Roman" w:eastAsia="Times New Roman" w:hAnsi="Times New Roman" w:cs="Times New Roman"/>
          <w:sz w:val="24"/>
          <w:szCs w:val="24"/>
        </w:rPr>
        <w:lastRenderedPageBreak/>
        <w:t xml:space="preserve">majority of the students are women from historically </w:t>
      </w:r>
      <w:r w:rsidR="00C25F99" w:rsidRPr="009B13F9">
        <w:rPr>
          <w:rFonts w:ascii="Times New Roman" w:eastAsia="Times New Roman" w:hAnsi="Times New Roman" w:cs="Times New Roman"/>
          <w:sz w:val="24"/>
          <w:szCs w:val="24"/>
        </w:rPr>
        <w:t>marginalized</w:t>
      </w:r>
      <w:r w:rsidRPr="009B13F9">
        <w:rPr>
          <w:rFonts w:ascii="Times New Roman" w:eastAsia="Times New Roman" w:hAnsi="Times New Roman" w:cs="Times New Roman"/>
          <w:sz w:val="24"/>
          <w:szCs w:val="24"/>
        </w:rPr>
        <w:t>, conflict-affected and underrepresented communities. Diversity was not just demographic in this context. It was very hands on. Participants faced attitudes influenced by displacement, gender disparities in education, political turmoil, and diverse regional education practices. These lived realities brought with them forms of knowing beyond the content of textbooks, and added to the collective meaning-making processes.</w:t>
      </w:r>
    </w:p>
    <w:p w14:paraId="1FA689B5"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interpretation is supported by the results of the focus groups. Participants reported learning through watching what others in the class did with learning tasks, how others saw theories and how they related these to their local contexts. These observations led students to reflect on their own assumptions and to use other ways of learning. Such a process is similar to what Vygotsky (1978) described as socially mediated learning wherein cognitive development takes place through interaction with peers who are in different positions. The results, however, indicate a more dynamic relationship than is typical in previous one-way scaffolding models. The participants co-constructed understanding in both ways dialogue, continuous negotiation and exchange.</w:t>
      </w:r>
    </w:p>
    <w:p w14:paraId="52FDA6B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findings from the Photovoice add another layer to this discussion, in that peer relationships were not only useful for academic purposes but also emotional and motivational. Participants shared images of fellow students and collective accomplishments in their learning environment, suggesting that peer relationships were a continuous source of support and a sense of belonging. These relational links directly facilitated participants' readiness to take intellectual risks and to discuss issues in the classroom. These are the conditions for epistemological growth. These results are consistent with culturally responsive theories which focus on the importance of </w:t>
      </w:r>
      <w:r w:rsidRPr="009B13F9">
        <w:rPr>
          <w:rFonts w:ascii="Times New Roman" w:eastAsia="Times New Roman" w:hAnsi="Times New Roman" w:cs="Times New Roman"/>
          <w:sz w:val="24"/>
          <w:szCs w:val="24"/>
        </w:rPr>
        <w:lastRenderedPageBreak/>
        <w:t>community, relationships, and collaborative learning in the development of education (Gay, 2018; Ladson-Billings, 1995).</w:t>
      </w:r>
    </w:p>
    <w:p w14:paraId="67F0A825"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Importantly, these results contradict the prevailing western notions of metacognition which place the regulation of learning solely in the hands of the individual learner (Flavell, 1979; Schraw &amp; Moshman, 1995). Individual reflection was certainly a part of the participants' experience, but, as evidenced by the accounts, monitoring, evaluation and meaning-making often took place in the context of interaction with others. Students checked their interpretations for accuracy against other students' views, they monitored their understanding by open discussion and they developed their thinking by constructive disagreement. Thus, metacognitive regulation seemed to be socially shared instead of being an individual responsibility.</w:t>
      </w:r>
    </w:p>
    <w:p w14:paraId="166F7719"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discovery adds to the growing body of literature that views metacognition as a socially distributed and culturally embedded phenomenon (Goos et al., 2002; Hurme et al., 2009). In the multicultural classroom studied here, metacognitive processes were integrated in the relationships, dialogue and collective inquiry. Participants didn't simply reflect on their thinking. They observed their thoughts in connection with the thoughts of others. This is a kind of collective metacognition, where metacognition emerges as a result of being exposed to the ideas of others and engaging in reflection.</w:t>
      </w:r>
    </w:p>
    <w:p w14:paraId="4D38C3E3" w14:textId="45F4421B"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results as a whole indicate that multicultural interaction leads to a change in the metacognitive learning strategies of the participants, which are </w:t>
      </w:r>
      <w:r w:rsidR="00C25F99" w:rsidRPr="009B13F9">
        <w:rPr>
          <w:rFonts w:ascii="Times New Roman" w:eastAsia="Times New Roman" w:hAnsi="Times New Roman" w:cs="Times New Roman"/>
          <w:sz w:val="24"/>
          <w:szCs w:val="24"/>
        </w:rPr>
        <w:t>characterized</w:t>
      </w:r>
      <w:r w:rsidRPr="009B13F9">
        <w:rPr>
          <w:rFonts w:ascii="Times New Roman" w:eastAsia="Times New Roman" w:hAnsi="Times New Roman" w:cs="Times New Roman"/>
          <w:sz w:val="24"/>
          <w:szCs w:val="24"/>
        </w:rPr>
        <w:t xml:space="preserve"> by epistemological pluralism, collaborative meaning-making and socially distributed forms of regulation. Participants had a growing awareness that knowledge is not singular, static, and authority-based, but rather is an interpretive and dialogue-based process influenced by multiple perspectives. Thus, the multicultural classroom was not only a place to learn, but also a place to transform </w:t>
      </w:r>
      <w:r w:rsidRPr="009B13F9">
        <w:rPr>
          <w:rFonts w:ascii="Times New Roman" w:eastAsia="Times New Roman" w:hAnsi="Times New Roman" w:cs="Times New Roman"/>
          <w:sz w:val="24"/>
          <w:szCs w:val="24"/>
        </w:rPr>
        <w:lastRenderedPageBreak/>
        <w:t>one's thinking by challenging assumptions, dealing with disagreement successfully, and developing new and more informed conceptions of educational phenomena. This change is a central finding of the study and is a clear reflection of the fact that metacognitive development in multicultural higher education is not divorced from the social and epistemological context in which it takes place.</w:t>
      </w:r>
    </w:p>
    <w:p w14:paraId="15BFB216"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sz w:val="24"/>
          <w:szCs w:val="24"/>
        </w:rPr>
      </w:pPr>
      <w:bookmarkStart w:id="112" w:name="_cpjj5872qdlo" w:colFirst="0" w:colLast="0"/>
      <w:bookmarkStart w:id="113" w:name="_Toc235800218"/>
      <w:bookmarkEnd w:id="112"/>
      <w:r w:rsidRPr="009B13F9">
        <w:rPr>
          <w:rFonts w:ascii="Times New Roman" w:eastAsia="Times New Roman" w:hAnsi="Times New Roman" w:cs="Times New Roman"/>
          <w:b/>
          <w:bCs/>
          <w:sz w:val="24"/>
          <w:szCs w:val="24"/>
        </w:rPr>
        <w:t>5.4 Discussion of Theme 3: Affective Self-Regulation and the Re-Anchoring of Education as a Civic Resilience Strategy</w:t>
      </w:r>
      <w:bookmarkEnd w:id="113"/>
    </w:p>
    <w:p w14:paraId="761FA89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third theme showed that the metacognitive learning strategies of the participants were not only in the area of cognitive regulation, but also in emotional management, identity negotiation, wellbeing maintenance and civic purpose. Traditional views of metacognition focus on planning, monitoring, and evaluating cognitive processes (Flavell, 1979), but the participants found graduate learning to be a very emotional, embodied, and personally transformative experience. Participants' stories reveal that learning in a high-pressure, multicultural graduate setting is not just about controlling thoughts but also about maintaining emotional health, staying motivated, holding onto cultural identity, and relating learning to social issues.</w:t>
      </w:r>
    </w:p>
    <w:p w14:paraId="3792B3D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is in line with the increasing criticism of cognitive-centric models of learning which fail to consider the emotional aspects of learning experiences. Metacognitive theories have traditionally been concerned with awareness and regulation of cognition, but researchers are now aware of the importance of emotions in influencing learners' planning, monitoring and evaluating their learning (Efklides, 2006; Pekrun, 2002). Stress, exhaustion, anxiety, isolation and self-doubt were described repeatedly by the participants in this study as aspects that directly impacted their cognitive functioning. The experiences were especially pronounced for students who were in the midst of transitioning from one academic culture to another, facing steep language </w:t>
      </w:r>
      <w:r w:rsidRPr="009B13F9">
        <w:rPr>
          <w:rFonts w:ascii="Times New Roman" w:eastAsia="Times New Roman" w:hAnsi="Times New Roman" w:cs="Times New Roman"/>
          <w:sz w:val="24"/>
          <w:szCs w:val="24"/>
        </w:rPr>
        <w:lastRenderedPageBreak/>
        <w:t>challenges, displacement, and broken educational journeys, and having to deal with heavy workloads in graduate school. Findings like these indicate that metacognitive regulation cannot be fully understood without taking into account affective conditions in which cognition takes place.</w:t>
      </w:r>
    </w:p>
    <w:p w14:paraId="12093D8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participants' description of academic stress and emotional struggle corroborates previous studies on international higher education. Academic anxiety, linguistic insecurity and identity-related issues have been reported to impact students' learning engagement when they move into new and different educational systems (Glass et al., 2015; Heng, 2019). This study showed similar trends. But the participants didn't just take these challenges. They were actively involved in creating strategies to deal with them. Students exhibited a complex affective self-regulation that promoted ongoing academic engagement through intentional self-care routines, structured breaks, emotional decompression activities, spiritual practices and environmental changes.</w:t>
      </w:r>
    </w:p>
    <w:p w14:paraId="078B4841" w14:textId="1BD42EA2"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These findings align with Efklides' (2006) Metacognitive and Affective Model of Self-Regulated Learning which posits that metacognitive experiences and emotions are intertwined and that emotional states of uncertainty, confidence, frustration or satisfaction impact how learners monitor their understanding and choose strategies. This is clearly seen in the participants' accounts. Emotional wellbeing was not considered to be distinct from academic performance. </w:t>
      </w:r>
      <w:r w:rsidR="004A0985" w:rsidRPr="009B13F9">
        <w:rPr>
          <w:rFonts w:ascii="Times New Roman" w:eastAsia="Times New Roman" w:hAnsi="Times New Roman" w:cs="Times New Roman"/>
          <w:sz w:val="24"/>
          <w:szCs w:val="24"/>
        </w:rPr>
        <w:t>Instead,</w:t>
      </w:r>
      <w:r w:rsidRPr="009B13F9">
        <w:rPr>
          <w:rFonts w:ascii="Times New Roman" w:eastAsia="Times New Roman" w:hAnsi="Times New Roman" w:cs="Times New Roman"/>
          <w:sz w:val="24"/>
          <w:szCs w:val="24"/>
        </w:rPr>
        <w:t xml:space="preserve"> it was a structural precondition for learning. Emotional fatigue was often reported by students as a trigger for changes to their studying habits, recognizing that psychological stability was a prerequisite for cognitive engagement. As a result, affective regulation was an integral part of their metacognitive strategy skill set.</w:t>
      </w:r>
    </w:p>
    <w:p w14:paraId="055FAD06"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lastRenderedPageBreak/>
        <w:t>The photovoice findings also further support this interpretation by demonstrating the entanglements of emotional regulation in participants' physical learning environments. Unlike the traditional idea of an academic workspace that is focused on academic efficiency, participants' photographs showed spaces adorned with comfort items, family photos, cultural objects, religious text, and wellness-related items. These items were not just for decorative purposes, but also for emotional support and psychological comfort, as they could help to motivate and support students during times of high academic stress.</w:t>
      </w:r>
    </w:p>
    <w:p w14:paraId="427D76A0"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 a sociocultural analysis, the results confirm Vygotsky's (1978) claim that higher order psychological processes are mediated by cultural tools and social contexts. Culturally meaningful practices and symbolic artefacts supported participants' emotional regulation strategies. Family photographs, cultural textiles, national symbols and spiritual routines were used as mediational resources to help learners maintain emotional resilience. Thus, the results indicate that metacognitive regulation is not only socially mediated, but also culturally mediated, as it takes place in interactions with significant symbols and practices of students' lives.</w:t>
      </w:r>
    </w:p>
    <w:p w14:paraId="623CC1D9"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Cultural relevance was especially important for those who were experiencing an international transition in their learning. Students did not have to give up previous identities to be successful in a new system, but they held onto their cultural identities and adjusted to new educational demands. This discovery is in close proximity to culturally responsive and culturally sustaining views of education. Gay (2018) contends that this is effective learning that happens when students' cultural knowledge, experiences and identities are seen as assets for learning, not barriers. Likewise, Paris and Alim (2017) argue for the need to have an educational strategy that maintains, rather than replaces, learners' cultural practices. This study's findings substantiate </w:t>
      </w:r>
      <w:r w:rsidRPr="009B13F9">
        <w:rPr>
          <w:rFonts w:ascii="Times New Roman" w:eastAsia="Times New Roman" w:hAnsi="Times New Roman" w:cs="Times New Roman"/>
          <w:sz w:val="24"/>
          <w:szCs w:val="24"/>
        </w:rPr>
        <w:lastRenderedPageBreak/>
        <w:t>these perspectives by demonstrating that cultural identity is a direct resource for resilience, motivation and meaning-making throughout the learning process.</w:t>
      </w:r>
    </w:p>
    <w:p w14:paraId="4FE586FC"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results show that in addition to emotional regulation and cultural continuity, there is a significant change in participants' educational motivations. Many noted a shift from grades-based conceptions of academic achievement to more expansive conceptions of learning that emphasize personal growth, professional competence, and social impact and community contribution. This is similar to the results of the focus group discussions in which students expressed a desire to apply knowledge rather than to achieve a high grade point average. These changes indicate a paradigm shift in the aims of education from outside measures of performance to values that are meaningful in themselves.</w:t>
      </w:r>
    </w:p>
    <w:p w14:paraId="337853A1" w14:textId="68C3F320"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motivational change can be explained by the theories of transformative learning and culturally relevant education. Ladson-Billings (1995) suggests that education should be meaningful and lead to academic success, cultural competence, and sociopolitical consciousness. Likewise, culturally sustaining pedagogies highlight the importance of education in helping learners to be critical actors in the social world and to participate in the wellbeing of their communities (Paris &amp; Alim, 2017). These principles are well captured in the stories of the participants. Learning more and more became a way to directly reduce educational inequalities, empower </w:t>
      </w:r>
      <w:r w:rsidR="002F3B2B" w:rsidRPr="009B13F9">
        <w:rPr>
          <w:rFonts w:ascii="Times New Roman" w:eastAsia="Times New Roman" w:hAnsi="Times New Roman" w:cs="Times New Roman"/>
          <w:sz w:val="24"/>
          <w:szCs w:val="24"/>
        </w:rPr>
        <w:t>marginalized</w:t>
      </w:r>
      <w:r w:rsidRPr="009B13F9">
        <w:rPr>
          <w:rFonts w:ascii="Times New Roman" w:eastAsia="Times New Roman" w:hAnsi="Times New Roman" w:cs="Times New Roman"/>
          <w:sz w:val="24"/>
          <w:szCs w:val="24"/>
        </w:rPr>
        <w:t xml:space="preserve"> communities, promote gender equality and social change. Education was no longer just a means of individual improvement, but a means of social change and social sustainability.</w:t>
      </w:r>
    </w:p>
    <w:p w14:paraId="2A2D186A"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These findings are especially relevant given participants' previous educational trajectories. Many came into the program from contexts which were marked by educational inequality, a lack of resources, political instability, gender-based education restrictions or limited </w:t>
      </w:r>
      <w:r w:rsidRPr="009B13F9">
        <w:rPr>
          <w:rFonts w:ascii="Times New Roman" w:eastAsia="Times New Roman" w:hAnsi="Times New Roman" w:cs="Times New Roman"/>
          <w:sz w:val="24"/>
          <w:szCs w:val="24"/>
        </w:rPr>
        <w:lastRenderedPageBreak/>
        <w:t>scope for critical engagement. These lived experiences had a direct impact on how the participants interpreted educational theories and on what they aspired to do in the future. They all assessed the academic frameworks and determined their relevance to their home communities in addressing real world problems, rather than as abstract content. This context-specific learning emphasizes the importance of lived experiences in the development of metacognitive monitoring and in long-term professional learning.</w:t>
      </w:r>
    </w:p>
    <w:p w14:paraId="1F0E5494"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participant's accounts also show significant aspects of learner identity transformation. As with Theme 1 and Theme 2, students spoke about how they had become more confident, reflective and autonomous learners over time. But Theme 3 reveals that this transformation was not just about academic achievement. Participants saw themselves as active educators, advocates, community members and agents of change. Their evolving identities included intellectual development as well as moral and civic involvement.</w:t>
      </w:r>
    </w:p>
    <w:p w14:paraId="03CF82D8"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discovery can be understood within the framework of culturally relevant and socially transformative education. Traditional metacognitive models are mainly intended to enhance learning efficiency and task achievement but from the participants' experiences, there is a wider view of educational development. There were significant changes in personal values, career aspirations and professional purpose that accompanied metacognitive growth. Learning was related to issues of justice and community impact, suggesting that metacognitive development is inextricable from identity development.</w:t>
      </w:r>
    </w:p>
    <w:p w14:paraId="4ADB3A1C"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Importantly, these results question prevailing western models of metacognition, which focus on the individual cognition as the unit of analysis. Although there was cognitive monitoring and regulation by participants, their descriptions show that learning was also emotional, cultural, relational and civic. Their approaches to handling academic demands </w:t>
      </w:r>
      <w:r w:rsidRPr="009B13F9">
        <w:rPr>
          <w:rFonts w:ascii="Times New Roman" w:eastAsia="Times New Roman" w:hAnsi="Times New Roman" w:cs="Times New Roman"/>
          <w:sz w:val="24"/>
          <w:szCs w:val="24"/>
        </w:rPr>
        <w:lastRenderedPageBreak/>
        <w:t>included social support networks, cultural resources, spiritual practices and future-oriented community commitments. Thus, the metacognitive regulation was identified as a comprehensive process, which combines cognitive, affective, cultural and ethical aspects of human experience.</w:t>
      </w:r>
    </w:p>
    <w:p w14:paraId="5751335D"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interpretation also fits in with the conceptual framework used in the study. The results indicated that planning, monitoring and evaluation steps happen within a larger system of emotion, identity, culture and social purpose, although Flavell's (1979) model is still useful for understanding planning. Participants were not just managing their information processing. They were also managing their emotional needs, maintaining important identities and linking learning experiences with future intentions. These results suggest that metacognition in multicultural graduate settings is better understood as a practice, and not just a cognitive practice.</w:t>
      </w:r>
    </w:p>
    <w:p w14:paraId="612C65E7"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 sum, Theme 3 reveals the close connection between participants' metacognitive learning strategies and affective regulation, cultural continuity, identity transformation and civic commitment. The multicultural learning environment was not only a determinant of the how of student learning, but also of the why and who of student learning as learners and future leaders. In this way, metacognitive regulation was transformed into a resilience practice, helping participants to manage and overcome the heavy demands of academic life while maintaining personal wellbeing and commitments to wider social change.</w:t>
      </w:r>
    </w:p>
    <w:p w14:paraId="7F4E3711"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sz w:val="24"/>
          <w:szCs w:val="24"/>
        </w:rPr>
      </w:pPr>
      <w:bookmarkStart w:id="114" w:name="_2kooafou68q2" w:colFirst="0" w:colLast="0"/>
      <w:bookmarkStart w:id="115" w:name="_Toc235800219"/>
      <w:bookmarkEnd w:id="114"/>
      <w:r w:rsidRPr="009B13F9">
        <w:rPr>
          <w:rFonts w:ascii="Times New Roman" w:eastAsia="Times New Roman" w:hAnsi="Times New Roman" w:cs="Times New Roman"/>
          <w:b/>
          <w:bCs/>
          <w:sz w:val="24"/>
          <w:szCs w:val="24"/>
        </w:rPr>
        <w:t>5.5 Theoretical Contributions</w:t>
      </w:r>
      <w:bookmarkEnd w:id="115"/>
    </w:p>
    <w:p w14:paraId="76A3737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study adds to the literature on metacognition, multicultural higher education and culturally situated learning by providing a comprehensive picture of how learning strategies are negotiated in a diverse graduate classroom. Although metacognitive awareness and self-regulation and strategy selectives have been extensively studied, the results of this study indicate that metacognition in the context of multiculturalism goes beyond individual cognitive self-</w:t>
      </w:r>
      <w:r w:rsidRPr="009B13F9">
        <w:rPr>
          <w:rFonts w:ascii="Times New Roman" w:eastAsia="Times New Roman" w:hAnsi="Times New Roman" w:cs="Times New Roman"/>
          <w:sz w:val="24"/>
          <w:szCs w:val="24"/>
        </w:rPr>
        <w:lastRenderedPageBreak/>
        <w:t>regulation (Flavell, 1979; Schraw &amp; Dennison, 1994; Zimmerman, 2002). The experiences of the MA in Education students demonstrate that metacognitive learning is a process that is at once cognitive, social, cultural, affective, technological and identity-based. From these findings, this study contributes in four main ways to the theory.</w:t>
      </w:r>
    </w:p>
    <w:p w14:paraId="7790C862"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16" w:name="_dia8xt3fiuij" w:colFirst="0" w:colLast="0"/>
      <w:bookmarkStart w:id="117" w:name="_Toc235800220"/>
      <w:bookmarkEnd w:id="116"/>
      <w:r w:rsidRPr="009B13F9">
        <w:rPr>
          <w:rFonts w:ascii="Times New Roman" w:eastAsia="Times New Roman" w:hAnsi="Times New Roman" w:cs="Times New Roman"/>
          <w:b/>
          <w:bCs/>
          <w:color w:val="000000"/>
          <w:sz w:val="24"/>
          <w:szCs w:val="24"/>
        </w:rPr>
        <w:t>5.5.1 Extending Metacognition Beyond Individual Cognition</w:t>
      </w:r>
      <w:bookmarkEnd w:id="117"/>
    </w:p>
    <w:p w14:paraId="08644E1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first theoretical contribution is about the conceptualization of metacognition itself. In the traditional conceptions of metacognition, the emphasis is on the person's own awareness and control of their cognitive processes in the form of planning, monitoring and evaluating (Flavell, 1979; Schraw &amp; Moshman, 1995). The results revealed that these dimensions were supported, but participants engaged in metacognitive regulation in a myriad of ways by using external resources such as physical study spaces, visual tracking systems, technological applications, peer networks and cultural resources.</w:t>
      </w:r>
    </w:p>
    <w:p w14:paraId="0B139C66" w14:textId="71FF5284"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use of calendars, sticky notes, AI platforms and collaborative discussion and customized learning spaces suggests that metacognitive regulation is shared among people, technologies and material environments. Planning, monitoring and evaluation was not only in the individual's mind but also </w:t>
      </w:r>
      <w:r w:rsidR="00C25F99" w:rsidRPr="009B13F9">
        <w:rPr>
          <w:rFonts w:ascii="Times New Roman" w:eastAsia="Times New Roman" w:hAnsi="Times New Roman" w:cs="Times New Roman"/>
          <w:sz w:val="24"/>
          <w:szCs w:val="24"/>
        </w:rPr>
        <w:t>externalized</w:t>
      </w:r>
      <w:r w:rsidRPr="009B13F9">
        <w:rPr>
          <w:rFonts w:ascii="Times New Roman" w:eastAsia="Times New Roman" w:hAnsi="Times New Roman" w:cs="Times New Roman"/>
          <w:sz w:val="24"/>
          <w:szCs w:val="24"/>
        </w:rPr>
        <w:t xml:space="preserve"> by the use of environmental and social supports. This finding extends Flavell's (1979) initial model by showing that metacognitive regulation is an externalized practice that is located in a larger sociocultural system.</w:t>
      </w:r>
    </w:p>
    <w:p w14:paraId="0A63ADB4"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contribution is in line with the current sociocultural approach to cognition, which sees cognition as being distributed among individuals, artifacts, and social interactions (Vygotsky, 1978). The present study, however, extends this argument by specifically depicting multicultural graduate students' use of various external supports to facilitate metacognitive functioning in adapting to unfamiliar educational contexts. The findings therefore indicate that </w:t>
      </w:r>
      <w:r w:rsidRPr="009B13F9">
        <w:rPr>
          <w:rFonts w:ascii="Times New Roman" w:eastAsia="Times New Roman" w:hAnsi="Times New Roman" w:cs="Times New Roman"/>
          <w:sz w:val="24"/>
          <w:szCs w:val="24"/>
        </w:rPr>
        <w:lastRenderedPageBreak/>
        <w:t>metacognition can be thought of as a socially and materially distributed phenomenon as well as an internal cognitive process.</w:t>
      </w:r>
    </w:p>
    <w:p w14:paraId="2D0B9228"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18" w:name="_gtlzt8xsjcyd" w:colFirst="0" w:colLast="0"/>
      <w:bookmarkStart w:id="119" w:name="_Toc235800221"/>
      <w:bookmarkEnd w:id="118"/>
      <w:r w:rsidRPr="009B13F9">
        <w:rPr>
          <w:rFonts w:ascii="Times New Roman" w:eastAsia="Times New Roman" w:hAnsi="Times New Roman" w:cs="Times New Roman"/>
          <w:b/>
          <w:bCs/>
          <w:color w:val="000000"/>
          <w:sz w:val="24"/>
          <w:szCs w:val="24"/>
        </w:rPr>
        <w:t>5.5.2 Multicultural Interaction as a Catalyst for Epistemological Development</w:t>
      </w:r>
      <w:bookmarkEnd w:id="119"/>
    </w:p>
    <w:p w14:paraId="2FF2D21D"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second contribution is related to the issue of multicultural interaction and epistemological development. Theories of epistemological progression suggest that learners will shift from dualistic views of knowledge to more complex and relativistic views of knowledge (Hofer &amp; Pintrich, 1997; Perry, 1970). These models help to account for developmental shifts in beliefs about knowledge but don't focus on the specific educational circumstances that trigger these shifts.</w:t>
      </w:r>
    </w:p>
    <w:p w14:paraId="11736440"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Based on the results of this study, it can be concluded that multicultural interaction is a strong engine for epistemological change. Participants reported that they came into the program with assumptions that were influenced by teacher-centered education that viewed knowledge as absolute, fixed and singular. Participants were exposed to multiple ways of thinking about educational phenomena, alternative modes of knowing and multiple lived realities through sustained engagement with peers from diverse national, linguistic and sociocultural backgrounds. Such interactions challenged assumptions and led to an appreciation of the legitimacy of multiple perspectives.</w:t>
      </w:r>
    </w:p>
    <w:p w14:paraId="12D9AA3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study thus provides empirical findings to support the claim that epistemological development is not just a cognitive process of the individual, but is greatly shaped by the multicultural social interaction. This exposure to diversity did not simply expand participants' knowledge base, but also changed their perception of knowledge and its production. The results show that epistemological pluralism developed as a result of continuous dialogue, productive </w:t>
      </w:r>
      <w:r w:rsidRPr="009B13F9">
        <w:rPr>
          <w:rFonts w:ascii="Times New Roman" w:eastAsia="Times New Roman" w:hAnsi="Times New Roman" w:cs="Times New Roman"/>
          <w:sz w:val="24"/>
          <w:szCs w:val="24"/>
        </w:rPr>
        <w:lastRenderedPageBreak/>
        <w:t>disagreement and joint meaning making, which underlines the importance of multicultural learning spaces in the development of intellectual complexity.</w:t>
      </w:r>
    </w:p>
    <w:p w14:paraId="4362E375"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20" w:name="_l1ahjurv03kq" w:colFirst="0" w:colLast="0"/>
      <w:bookmarkStart w:id="121" w:name="_Toc235800222"/>
      <w:bookmarkEnd w:id="120"/>
      <w:r w:rsidRPr="009B13F9">
        <w:rPr>
          <w:rFonts w:ascii="Times New Roman" w:eastAsia="Times New Roman" w:hAnsi="Times New Roman" w:cs="Times New Roman"/>
          <w:b/>
          <w:bCs/>
          <w:color w:val="000000"/>
          <w:sz w:val="24"/>
          <w:szCs w:val="24"/>
        </w:rPr>
        <w:t>5.5.3 Reconceptualizing Metacognition as an Affective and Identity-Based Process</w:t>
      </w:r>
      <w:bookmarkEnd w:id="121"/>
    </w:p>
    <w:p w14:paraId="43BCC82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third theoretical contribution comes from the findings of the study on affective regulation and the transformation of identity. The majority of classical metacognitive literature has focused on cognitive awareness and regulation of strategies, and has largely neglected emotional experiences and identity development (Flavell, 1979; Schraw &amp; Dennison, 1994). Even though the importance of affect in SRL has been acknowledged by later researchers (Efklides, 2006; Pekrun, 2002), the regulation of emotions is relatively under-developed in the dominant metacognitive models.</w:t>
      </w:r>
    </w:p>
    <w:p w14:paraId="3C58944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results of this study revealed that the participants always included emotional wellbeing in their learning strategies. Stress management, coping with fatigue, staying motivated, keeping one's cultural identity and sustaining one's psychological resilience was not a peripheral activity, but was a necessary part of successful learning. Self-care, emotional support systems, spiritual rituals and culturally significant items were intentionally integrated into learning processes to help keep participants cognitively engaged.</w:t>
      </w:r>
    </w:p>
    <w:p w14:paraId="2D3C720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Based on these findings, it is proposed that metacognitive regulation is an affective process in addition to being a cognitive process. Furthermore, the participants' narratives indicate that metacognitive development was intricately linked to the transformation of learner identity. Students' attitudes to learning, as learners, educators and future professionals changed as they got used to the multicultural learning environment. The study thus contributes to the growing body of literature which sees learning, identity and self-regulation as interconnected, not separable areas of learning experience.</w:t>
      </w:r>
    </w:p>
    <w:p w14:paraId="02EE7BE4"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22" w:name="_8s040l6wr6ln" w:colFirst="0" w:colLast="0"/>
      <w:bookmarkStart w:id="123" w:name="_Toc235800223"/>
      <w:bookmarkEnd w:id="122"/>
      <w:r w:rsidRPr="009B13F9">
        <w:rPr>
          <w:rFonts w:ascii="Times New Roman" w:eastAsia="Times New Roman" w:hAnsi="Times New Roman" w:cs="Times New Roman"/>
          <w:b/>
          <w:bCs/>
          <w:color w:val="000000"/>
          <w:sz w:val="24"/>
          <w:szCs w:val="24"/>
        </w:rPr>
        <w:lastRenderedPageBreak/>
        <w:t>5.5.4 Advancing Culturally Responsive Understandings of Metacognition</w:t>
      </w:r>
      <w:bookmarkEnd w:id="123"/>
    </w:p>
    <w:p w14:paraId="1213800B"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fourth theoretical contribution is related to culture and metacognition. Many of the foundational metacognitive literature emerged in the context of western education and takes a fairly individualistic view of learning (Flavell, 1979; Schraw &amp; Moshman, 1995). While these frameworks are still powerful, there is a growing body of scholars who have been working on the view that learning processes are influenced by cultural values, social practices and contextual experiences (Gay, 2018; Paris &amp; Alim, 2017). This individualistic bias tends to ignore holistic / collectivist aspects of learning as described in non-western and Asian educational contexts, where self-regulation is interwoven with relational harmony, social responsibility and community utility.</w:t>
      </w:r>
    </w:p>
    <w:p w14:paraId="1123F1E7"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results of this study support culturally responsive approaches by showing that participants actively used their cultural resources in their learning. The cultural backgrounds, previous educational experiences and community values of the participants had a significant impact on their metacognitive strategies. Theories were often assessed in local contexts, curriculum was related to community needs, and learning was seen in relation to personal and cultural experiences. Their learning strategies were not only in relation to their own academic aspirations, but also to social responsibility, educational enhancement, gender empowerment and community wellbeing.</w:t>
      </w:r>
    </w:p>
    <w:p w14:paraId="2B03F579"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Of particular interest is the fact that the participants did not lose their cultural identity in the multicultural classroom. Rather, they brought into their metacognitive practice cultural knowledge, lived experiences and community-oriented aspirations. This discovery is congruent with theories of culturally responsive and culturally sustaining pedagogy that highlight the importance of students' cultural identities as a resource not a problem in education (Gay, 2018; </w:t>
      </w:r>
      <w:r w:rsidRPr="009B13F9">
        <w:rPr>
          <w:rFonts w:ascii="Times New Roman" w:eastAsia="Times New Roman" w:hAnsi="Times New Roman" w:cs="Times New Roman"/>
          <w:sz w:val="24"/>
          <w:szCs w:val="24"/>
        </w:rPr>
        <w:lastRenderedPageBreak/>
        <w:t>Ladson-Billings, 1995; Paris &amp; Alim, 2017). From an overall perspective, the study contributes to culturally responsive understanding of metacognition by demonstrating that learners' cultural experiences are not factors that are external to metacognition but rather embedded in the enactment and understanding of metacognitive regulation.</w:t>
      </w:r>
    </w:p>
    <w:p w14:paraId="51ECF288"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b/>
          <w:bCs/>
          <w:sz w:val="24"/>
          <w:szCs w:val="24"/>
        </w:rPr>
      </w:pPr>
      <w:bookmarkStart w:id="124" w:name="_u6roolxliol7" w:colFirst="0" w:colLast="0"/>
      <w:bookmarkStart w:id="125" w:name="_Toc235800224"/>
      <w:bookmarkEnd w:id="124"/>
      <w:r w:rsidRPr="009B13F9">
        <w:rPr>
          <w:rFonts w:ascii="Times New Roman" w:eastAsia="Times New Roman" w:hAnsi="Times New Roman" w:cs="Times New Roman"/>
          <w:b/>
          <w:bCs/>
          <w:sz w:val="24"/>
          <w:szCs w:val="24"/>
        </w:rPr>
        <w:t>5.6 Implications for the Study Site and Multicultural Higher Education</w:t>
      </w:r>
      <w:bookmarkEnd w:id="125"/>
    </w:p>
    <w:p w14:paraId="0A21218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results of this study have implications for the study site and for multicultural higher education institutions in general. With the internationalization of higher education, universities are seeing students from a variety of linguistic, cultural, educational and socio-political backgrounds. The results indicate that academic performance is not the only factor in successful multicultural graduate education. Students are required to negotiate at the same time, new pedagogical expectations, language requirements, emotional stressors, identity changes, and multiple epistemologies. Therefore, institutions need to use educational approaches that acknowledge the complexity of these experiences and offer suitable forms of support.</w:t>
      </w:r>
    </w:p>
    <w:p w14:paraId="340EFA07"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26" w:name="_pot6r69dj1g2" w:colFirst="0" w:colLast="0"/>
      <w:bookmarkStart w:id="127" w:name="_Toc235800225"/>
      <w:bookmarkEnd w:id="126"/>
      <w:r w:rsidRPr="009B13F9">
        <w:rPr>
          <w:rFonts w:ascii="Times New Roman" w:eastAsia="Times New Roman" w:hAnsi="Times New Roman" w:cs="Times New Roman"/>
          <w:b/>
          <w:bCs/>
          <w:color w:val="000000"/>
          <w:sz w:val="24"/>
          <w:szCs w:val="24"/>
        </w:rPr>
        <w:t>5.6.1 Implications for Academic Support and Student Transition</w:t>
      </w:r>
      <w:bookmarkEnd w:id="127"/>
    </w:p>
    <w:p w14:paraId="3D9A9FC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results show that there were a number of participants who came into the MA in Education program from educational systems where teachers taught and students were tested and there was little opportunity for discussion-based learning. Adapting to a student-centred approach to learning in a graduate context was a major change in learning strategies, participation practices and academic expectations.</w:t>
      </w:r>
    </w:p>
    <w:p w14:paraId="6FF183B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These results indicate that universities with diverse student bodies ought to have a structured transition support program that clearly includes the academic culture differences. Orientation programs need to go beyond administrative information and provide opportunities </w:t>
      </w:r>
      <w:r w:rsidRPr="009B13F9">
        <w:rPr>
          <w:rFonts w:ascii="Times New Roman" w:eastAsia="Times New Roman" w:hAnsi="Times New Roman" w:cs="Times New Roman"/>
          <w:sz w:val="24"/>
          <w:szCs w:val="24"/>
        </w:rPr>
        <w:lastRenderedPageBreak/>
        <w:t>for students to learn about participation in the seminars, critical discussion, and expectations for academic writing and metacognitive learning strategies. This support can be especially significant for students coming out of educational environments where independent inquiry and debate in the classroom have not been emphasized.</w:t>
      </w:r>
    </w:p>
    <w:p w14:paraId="1F55FFA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results also indicate that explicit instruction in metacognitive strategy development might be useful in supporting students to go over academic transitions more effectively. Planning, monitoring, evaluating, academic reading and time management workshops could be useful to help students adjust to the requirements of graduate-level study. It is important for institutions to be aware that metacognitive strategies are not necessarily a product of previous learning and that they may need to be developed in the new learning context.</w:t>
      </w:r>
    </w:p>
    <w:p w14:paraId="413EA315"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28" w:name="_sfs23emdvcdl" w:colFirst="0" w:colLast="0"/>
      <w:bookmarkStart w:id="129" w:name="_Toc235800226"/>
      <w:bookmarkEnd w:id="128"/>
      <w:r w:rsidRPr="009B13F9">
        <w:rPr>
          <w:rFonts w:ascii="Times New Roman" w:eastAsia="Times New Roman" w:hAnsi="Times New Roman" w:cs="Times New Roman"/>
          <w:b/>
          <w:bCs/>
          <w:color w:val="000000"/>
          <w:sz w:val="24"/>
          <w:szCs w:val="24"/>
        </w:rPr>
        <w:t>5.6.2 Implications for Language Support in Multicultural Classrooms</w:t>
      </w:r>
      <w:bookmarkEnd w:id="129"/>
    </w:p>
    <w:p w14:paraId="1B03338C"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Language was identified as a major factor affecting student confidence and participation and academic engagement. Common problems were reported with academic vocabulary, classroom discussion and communicating complex ideas in English. This indicates that linguistic adaptation is not a problem with the students but is an academic process that is ongoing.</w:t>
      </w:r>
    </w:p>
    <w:p w14:paraId="64DD504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Language support should go beyond traditional English language instruction for the study site and similar institutions. Academic support structures need to be aware of the particular difficulties of disciplinary language and multilingual learning contexts in the higher education sector. Faculty may have to offer several opportunities for participation such as small group discussion, reflective writing, and collaborative learning activities that minimize participation anxiety and maximize participation.</w:t>
      </w:r>
    </w:p>
    <w:p w14:paraId="195EC75C"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In addition, the results show how linguistic diversity can be a resource and not a barrier if supported appropriately. Classrooms that respect different language experiences might motivate </w:t>
      </w:r>
      <w:r w:rsidRPr="009B13F9">
        <w:rPr>
          <w:rFonts w:ascii="Times New Roman" w:eastAsia="Times New Roman" w:hAnsi="Times New Roman" w:cs="Times New Roman"/>
          <w:sz w:val="24"/>
          <w:szCs w:val="24"/>
        </w:rPr>
        <w:lastRenderedPageBreak/>
        <w:t>students to share their thoughts to enhance the learning of the group and boost their confidence in learning.</w:t>
      </w:r>
    </w:p>
    <w:p w14:paraId="6412D409"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30" w:name="_mm56j4mi1y3h" w:colFirst="0" w:colLast="0"/>
      <w:bookmarkStart w:id="131" w:name="_Toc235800227"/>
      <w:bookmarkEnd w:id="130"/>
      <w:r w:rsidRPr="009B13F9">
        <w:rPr>
          <w:rFonts w:ascii="Times New Roman" w:eastAsia="Times New Roman" w:hAnsi="Times New Roman" w:cs="Times New Roman"/>
          <w:b/>
          <w:bCs/>
          <w:color w:val="000000"/>
          <w:sz w:val="24"/>
          <w:szCs w:val="24"/>
        </w:rPr>
        <w:t>5.6.3 Implications for the Integration of Artificial Intelligence in Higher Education</w:t>
      </w:r>
      <w:bookmarkEnd w:id="131"/>
    </w:p>
    <w:p w14:paraId="415D3F47"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most important results of this study are students' use of artificial intelligence (AI) as a metacognitive scaffolding. In every instance, participants reported using AI tools to simplify vocabulary, summarize readings, clarify concepts, provide examples, and aid in academic preparation. Overall, AI was not seen as a replacement for learning, but rather as a tool for coping with and accessing complex academic material.</w:t>
      </w:r>
    </w:p>
    <w:p w14:paraId="315150C0"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Based on these findings, it is concluded that HEIs need to shift from a limiting or purely retributive attitude towards the use of AI. Rather than that, universities need to establish clear guidelines that promote the responsible and meaningful use of AI as a learning support tool. Professional development opportunities for faculty members may include the understanding of how students are utilizing AI and how AI technologies can be used to support metacognitive development, especially for multilingual and international learners.</w:t>
      </w:r>
    </w:p>
    <w:p w14:paraId="179393F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 parallel, institutions need to make sure that students are also learning the critical AI literacy skills to assess accuracy, recognize limitations, verify information, and critically engage with AI-generated content. The results indicate that AI is an emerging part of modern learning contexts and thus needs to be discussed more explicitly in higher education policies and practices.</w:t>
      </w:r>
    </w:p>
    <w:p w14:paraId="139F5540"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32" w:name="_pnwpohrmyfrb" w:colFirst="0" w:colLast="0"/>
      <w:bookmarkStart w:id="133" w:name="_Toc235800228"/>
      <w:bookmarkEnd w:id="132"/>
      <w:r w:rsidRPr="009B13F9">
        <w:rPr>
          <w:rFonts w:ascii="Times New Roman" w:eastAsia="Times New Roman" w:hAnsi="Times New Roman" w:cs="Times New Roman"/>
          <w:b/>
          <w:bCs/>
          <w:color w:val="000000"/>
          <w:sz w:val="24"/>
          <w:szCs w:val="24"/>
        </w:rPr>
        <w:t>5.6.4 Implications for Collaborative and Multicultural Learning Environments</w:t>
      </w:r>
      <w:bookmarkEnd w:id="133"/>
    </w:p>
    <w:p w14:paraId="629643C7"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results indicate that multicultural interaction was a key element in changing participants' learning styles. Students' exposure to multiple viewpoints and collaborative problem </w:t>
      </w:r>
      <w:r w:rsidRPr="009B13F9">
        <w:rPr>
          <w:rFonts w:ascii="Times New Roman" w:eastAsia="Times New Roman" w:hAnsi="Times New Roman" w:cs="Times New Roman"/>
          <w:sz w:val="24"/>
          <w:szCs w:val="24"/>
        </w:rPr>
        <w:lastRenderedPageBreak/>
        <w:t>solving via peer discussion resulted in more complex understandings of knowledge and greater metacognitive awareness.</w:t>
      </w:r>
    </w:p>
    <w:p w14:paraId="39B306BB"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These findings confirm the need to actively plan for intercultural engagement that has meaning. Diversity does not necessarily lead to transformative learning outcomes; institutions need to establish structures that facilitate interaction, dialogue and collaborative inquiry between students with diverse backgrounds.</w:t>
      </w:r>
    </w:p>
    <w:p w14:paraId="2415FAD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can be done at the study site by providing more opportunities for collaborative projects, peer mentoring activities, structured discussion groups and reflective activities that expose students to a variety of perspectives. These practices can enhance academic learning as well as the development of intercultural competence, critical thinking, and epistemological flexibility. Furthermore, the results indicate that multicultural classrooms can be considered as a valuable pedagogical resource. A exposure to different viewpoints can encourage intellectual development and challenge assumptions in ways that are less likely to occur in culturally homogenous learning settings.</w:t>
      </w:r>
    </w:p>
    <w:p w14:paraId="7A43F751"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34" w:name="_2oyaimyor6ix" w:colFirst="0" w:colLast="0"/>
      <w:bookmarkStart w:id="135" w:name="_Toc235800229"/>
      <w:bookmarkEnd w:id="134"/>
      <w:r w:rsidRPr="009B13F9">
        <w:rPr>
          <w:rFonts w:ascii="Times New Roman" w:eastAsia="Times New Roman" w:hAnsi="Times New Roman" w:cs="Times New Roman"/>
          <w:b/>
          <w:bCs/>
          <w:color w:val="000000"/>
          <w:sz w:val="24"/>
          <w:szCs w:val="24"/>
        </w:rPr>
        <w:t>5.6.5 Implications for Student Wellbeing and Holistic Learning Support</w:t>
      </w:r>
      <w:bookmarkEnd w:id="135"/>
    </w:p>
    <w:p w14:paraId="1C73E500"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most significant result of this study is that, participants' metacognitive learning strategies were significantly intertwined with emotional wellbeing. Students who reported that they were able to cope with stress, exhaustion, isolation, uncertainty, and other emotional issues while also coping with high expectations for school performance. In turn, they integrated the use of self-care practices, social support systems, cultural resources and spiritual routines into their learning process.</w:t>
      </w:r>
    </w:p>
    <w:p w14:paraId="2524ED2B"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results indicate that school achievement and student well-being cannot be viewed as two distinct institutional issues. Emotion regulation and psychological wellbeing are essential </w:t>
      </w:r>
      <w:r w:rsidRPr="009B13F9">
        <w:rPr>
          <w:rFonts w:ascii="Times New Roman" w:eastAsia="Times New Roman" w:hAnsi="Times New Roman" w:cs="Times New Roman"/>
          <w:sz w:val="24"/>
          <w:szCs w:val="24"/>
        </w:rPr>
        <w:lastRenderedPageBreak/>
        <w:t>parts of effective learning and universities need to understand this. Hence, it is important that the student support services be holistic in nature, taking care of both academic and emotional aspects.</w:t>
      </w:r>
    </w:p>
    <w:p w14:paraId="14AB5EFE" w14:textId="058EC0C9"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This can include increased provision of counselling services, peer support </w:t>
      </w:r>
      <w:r w:rsidR="00C25F99" w:rsidRPr="009B13F9">
        <w:rPr>
          <w:rFonts w:ascii="Times New Roman" w:eastAsia="Times New Roman" w:hAnsi="Times New Roman" w:cs="Times New Roman"/>
          <w:sz w:val="24"/>
          <w:szCs w:val="24"/>
        </w:rPr>
        <w:t>programs</w:t>
      </w:r>
      <w:r w:rsidRPr="009B13F9">
        <w:rPr>
          <w:rFonts w:ascii="Times New Roman" w:eastAsia="Times New Roman" w:hAnsi="Times New Roman" w:cs="Times New Roman"/>
          <w:sz w:val="24"/>
          <w:szCs w:val="24"/>
        </w:rPr>
        <w:t xml:space="preserve">, wellbeing </w:t>
      </w:r>
      <w:r w:rsidR="00C25F99" w:rsidRPr="009B13F9">
        <w:rPr>
          <w:rFonts w:ascii="Times New Roman" w:eastAsia="Times New Roman" w:hAnsi="Times New Roman" w:cs="Times New Roman"/>
          <w:sz w:val="24"/>
          <w:szCs w:val="24"/>
        </w:rPr>
        <w:t>programs</w:t>
      </w:r>
      <w:r w:rsidRPr="009B13F9">
        <w:rPr>
          <w:rFonts w:ascii="Times New Roman" w:eastAsia="Times New Roman" w:hAnsi="Times New Roman" w:cs="Times New Roman"/>
          <w:sz w:val="24"/>
          <w:szCs w:val="24"/>
        </w:rPr>
        <w:t xml:space="preserve"> and opportunities for students to continue to engage with cultural identities and communities at the study site. Teachers can also gain from a holistic understanding of the role of emotions and contexts in students' school experiences.</w:t>
      </w:r>
    </w:p>
    <w:p w14:paraId="0D67FDFC"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36" w:name="_w5e8bb8jspz6" w:colFirst="0" w:colLast="0"/>
      <w:bookmarkStart w:id="137" w:name="_Toc235800230"/>
      <w:bookmarkEnd w:id="136"/>
      <w:r w:rsidRPr="009B13F9">
        <w:rPr>
          <w:rFonts w:ascii="Times New Roman" w:eastAsia="Times New Roman" w:hAnsi="Times New Roman" w:cs="Times New Roman"/>
          <w:b/>
          <w:bCs/>
          <w:color w:val="000000"/>
          <w:sz w:val="24"/>
          <w:szCs w:val="24"/>
        </w:rPr>
        <w:t>5.6.6 Implications for Culturally Responsive Graduate Education</w:t>
      </w:r>
      <w:bookmarkEnd w:id="137"/>
    </w:p>
    <w:p w14:paraId="69875980"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Results indicate that the participants were always able to relate educational theories to their own experiences, cultural contexts, and community settings. Students did not see knowledge as universal and outside of context, but rather interpreted ideas in light of their own social and educational systems.</w:t>
      </w:r>
    </w:p>
    <w:p w14:paraId="0881831B"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discovery strengthens the significance of culturally responsive teaching and learning practices. Opportunities for graduate education programs should be designed to engage students in the local context, integrate their cultural understanding, and offer insights from a variety of experiences. These can improve engagement, deepen understanding and make learning more relevant. Culturally responsive pedagogy is especially relevant to multicultural institutions such as the study site, as students bring with them rich and varied forms of knowledge that can enhance collective learning. These experiences can be acknowledged as valid sources of knowledge and lead to the development of more inclusive and meaningful educational settings.</w:t>
      </w:r>
    </w:p>
    <w:p w14:paraId="49A51320" w14:textId="77777777" w:rsidR="002F3B2B" w:rsidRPr="009B13F9" w:rsidRDefault="002F3B2B" w:rsidP="009B13F9">
      <w:pPr>
        <w:spacing w:line="480" w:lineRule="auto"/>
        <w:rPr>
          <w:rFonts w:ascii="Times New Roman" w:eastAsia="Times New Roman" w:hAnsi="Times New Roman" w:cs="Times New Roman"/>
          <w:b/>
          <w:bCs/>
          <w:sz w:val="24"/>
          <w:szCs w:val="24"/>
        </w:rPr>
      </w:pPr>
      <w:bookmarkStart w:id="138" w:name="_hcc2pi7fudho" w:colFirst="0" w:colLast="0"/>
      <w:bookmarkEnd w:id="138"/>
      <w:r w:rsidRPr="009B13F9">
        <w:rPr>
          <w:rFonts w:ascii="Times New Roman" w:eastAsia="Times New Roman" w:hAnsi="Times New Roman" w:cs="Times New Roman"/>
          <w:b/>
          <w:bCs/>
          <w:sz w:val="24"/>
          <w:szCs w:val="24"/>
        </w:rPr>
        <w:br w:type="page"/>
      </w:r>
    </w:p>
    <w:p w14:paraId="6B8F6318" w14:textId="4052F59B" w:rsidR="003D5428" w:rsidRPr="009B13F9" w:rsidRDefault="00000000" w:rsidP="009B13F9">
      <w:pPr>
        <w:pStyle w:val="Heading2"/>
        <w:keepNext w:val="0"/>
        <w:keepLines w:val="0"/>
        <w:spacing w:after="80" w:line="480" w:lineRule="auto"/>
        <w:rPr>
          <w:rFonts w:ascii="Times New Roman" w:eastAsia="Times New Roman" w:hAnsi="Times New Roman" w:cs="Times New Roman"/>
          <w:sz w:val="24"/>
          <w:szCs w:val="24"/>
        </w:rPr>
      </w:pPr>
      <w:bookmarkStart w:id="139" w:name="_Toc235800231"/>
      <w:r w:rsidRPr="009B13F9">
        <w:rPr>
          <w:rFonts w:ascii="Times New Roman" w:eastAsia="Times New Roman" w:hAnsi="Times New Roman" w:cs="Times New Roman"/>
          <w:b/>
          <w:bCs/>
          <w:sz w:val="24"/>
          <w:szCs w:val="24"/>
        </w:rPr>
        <w:lastRenderedPageBreak/>
        <w:t>5.7 Limitations</w:t>
      </w:r>
      <w:bookmarkEnd w:id="139"/>
    </w:p>
    <w:p w14:paraId="76D98A13"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Like any research, this study has some drawbacks which must be taken into consideration when interpreting the results. Although not detracting from the value of the study, these limitations are important to consider in terms of the scope and transferability of the findings.</w:t>
      </w:r>
    </w:p>
    <w:p w14:paraId="1292EC92"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40" w:name="_7exjqihciyks" w:colFirst="0" w:colLast="0"/>
      <w:bookmarkStart w:id="141" w:name="_Toc235800232"/>
      <w:bookmarkEnd w:id="140"/>
      <w:r w:rsidRPr="009B13F9">
        <w:rPr>
          <w:rFonts w:ascii="Times New Roman" w:eastAsia="Times New Roman" w:hAnsi="Times New Roman" w:cs="Times New Roman"/>
          <w:b/>
          <w:bCs/>
          <w:color w:val="000000"/>
          <w:sz w:val="24"/>
          <w:szCs w:val="24"/>
        </w:rPr>
        <w:t>5.7.1 Single Case Study Design</w:t>
      </w:r>
      <w:bookmarkEnd w:id="141"/>
    </w:p>
    <w:p w14:paraId="298A65A5" w14:textId="53675E10"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design of this study was a qualitative case study with one institutional context. Case study research emphasizes the understanding of a bounded system instead of generalization (Creswell &amp; Poth, 2018; Merriam &amp; Tisdell, 2016). Therefore, the results must be interpreted in the light of the particular context of the MA in Education program at the study site.</w:t>
      </w:r>
    </w:p>
    <w:p w14:paraId="3D6A4528"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value of this approach is that it provides a rich description of participants' lived experiences and the multiple ways metacognitive learning strategies are negotiated in a multicultural graduate context. The study is however one case study and the results might not be readily applicable to other higher education institutions or multicultural learning contexts. Rather, readers should evaluate the findings in light of the similarities in the institutional structures, student populations, and educational contexts.</w:t>
      </w:r>
    </w:p>
    <w:p w14:paraId="30EBDDAF"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42" w:name="_7o538xg3kbrk" w:colFirst="0" w:colLast="0"/>
      <w:bookmarkStart w:id="143" w:name="_Toc235800233"/>
      <w:bookmarkEnd w:id="142"/>
      <w:r w:rsidRPr="009B13F9">
        <w:rPr>
          <w:rFonts w:ascii="Times New Roman" w:eastAsia="Times New Roman" w:hAnsi="Times New Roman" w:cs="Times New Roman"/>
          <w:b/>
          <w:bCs/>
          <w:color w:val="000000"/>
          <w:sz w:val="24"/>
          <w:szCs w:val="24"/>
        </w:rPr>
        <w:t>5.7.2 Focus on a Single Academic Program</w:t>
      </w:r>
      <w:bookmarkEnd w:id="143"/>
    </w:p>
    <w:p w14:paraId="63A4475B"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Only students in the MA in Education program were included in the study. Participants were from a range of national, linguistic and educational backgrounds, but all had a common disciplinary context of education studies.</w:t>
      </w:r>
    </w:p>
    <w:p w14:paraId="30526486"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learning demand, pedagogical approach and metacognitive regulation of students in other academic disciplines may differ. For instance, students enrolled in science, engineering, business or health-related disciplines might use different strategies based on discipline </w:t>
      </w:r>
      <w:r w:rsidRPr="009B13F9">
        <w:rPr>
          <w:rFonts w:ascii="Times New Roman" w:eastAsia="Times New Roman" w:hAnsi="Times New Roman" w:cs="Times New Roman"/>
          <w:sz w:val="24"/>
          <w:szCs w:val="24"/>
        </w:rPr>
        <w:lastRenderedPageBreak/>
        <w:t>expectations. As such, the results are only representative of the experience of graduate education students and may not be a complete representation of metacognitive learning in other subject areas.</w:t>
      </w:r>
    </w:p>
    <w:p w14:paraId="63E722D2"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44" w:name="_14yyaeuefjyg" w:colFirst="0" w:colLast="0"/>
      <w:bookmarkStart w:id="145" w:name="_Toc235800234"/>
      <w:bookmarkEnd w:id="144"/>
      <w:r w:rsidRPr="009B13F9">
        <w:rPr>
          <w:rFonts w:ascii="Times New Roman" w:eastAsia="Times New Roman" w:hAnsi="Times New Roman" w:cs="Times New Roman"/>
          <w:b/>
          <w:bCs/>
          <w:color w:val="000000"/>
          <w:sz w:val="24"/>
          <w:szCs w:val="24"/>
        </w:rPr>
        <w:t>5.7.3 Only Women Participants</w:t>
      </w:r>
      <w:bookmarkEnd w:id="145"/>
    </w:p>
    <w:p w14:paraId="352FD0B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study was carried out in a women oriented university in Chattogram, Bangladesh. It is an institution that is mainly created to give higher education to women of various classes. This resulted in a group of females.</w:t>
      </w:r>
    </w:p>
    <w:p w14:paraId="0666008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context provided valuable insight into the experiences of women in multicultural graduate education, especially those women who had experienced some educational barriers, gender-based restrictions or limited access to educational opportunities in their home countries. The participant population was entirely female, however, so the results may not be fully representative of male students or students in a mixed-gender classroom setting. Further research in different institutional settings could be helpful to gain more insights into the connection between gender, culture and metacognitive learning strategies.</w:t>
      </w:r>
    </w:p>
    <w:p w14:paraId="122FEA6E"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46" w:name="_6dp1eupaxx0v" w:colFirst="0" w:colLast="0"/>
      <w:bookmarkStart w:id="147" w:name="_Toc235800235"/>
      <w:bookmarkEnd w:id="146"/>
      <w:r w:rsidRPr="009B13F9">
        <w:rPr>
          <w:rFonts w:ascii="Times New Roman" w:eastAsia="Times New Roman" w:hAnsi="Times New Roman" w:cs="Times New Roman"/>
          <w:b/>
          <w:bCs/>
          <w:color w:val="000000"/>
          <w:sz w:val="24"/>
          <w:szCs w:val="24"/>
        </w:rPr>
        <w:t>5.7.4 Reliance on Self-Reported Metacognitive Practices</w:t>
      </w:r>
      <w:bookmarkEnd w:id="147"/>
    </w:p>
    <w:p w14:paraId="5341433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Key findings are drawn from participants' self-reported experiences through interviews, focus group discussions, written responses, and photovoice. These approaches allowed for in-depth understanding of participants' perceptions and interpretations of their learning processes, but self-reported data are subject to limitations.</w:t>
      </w:r>
    </w:p>
    <w:p w14:paraId="09BBA8B6"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In addition, participants might not be fully aware of all aspects of their metacognitive processes and memory disruptions, personal interpretation and social desirability considerations might affect past accounts (Schraw &amp; Dennison, 1994). The study mainly reflects the </w:t>
      </w:r>
      <w:r w:rsidRPr="009B13F9">
        <w:rPr>
          <w:rFonts w:ascii="Times New Roman" w:eastAsia="Times New Roman" w:hAnsi="Times New Roman" w:cs="Times New Roman"/>
          <w:sz w:val="24"/>
          <w:szCs w:val="24"/>
        </w:rPr>
        <w:lastRenderedPageBreak/>
        <w:t>participants' descriptions and understandings of their metacognitive practices, as methodological triangulation was used between the interviews, the focus group discussions and the photovoice to increase the credibility of the findings. It would be useful for future studies to include classroom observations, learning journals, think aloud protocols or other real-time data collection techniques to supplement self-reported data to gain further insight into metacognitive processes as they are happening.</w:t>
      </w:r>
    </w:p>
    <w:p w14:paraId="7F4415E5"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48" w:name="_1in534npkrbo" w:colFirst="0" w:colLast="0"/>
      <w:bookmarkStart w:id="149" w:name="_Toc235800236"/>
      <w:bookmarkEnd w:id="148"/>
      <w:r w:rsidRPr="009B13F9">
        <w:rPr>
          <w:rFonts w:ascii="Times New Roman" w:eastAsia="Times New Roman" w:hAnsi="Times New Roman" w:cs="Times New Roman"/>
          <w:b/>
          <w:bCs/>
          <w:color w:val="000000"/>
          <w:sz w:val="24"/>
          <w:szCs w:val="24"/>
        </w:rPr>
        <w:t>5.7.5 Cross-Sectional Rather Than Longitudinal Design</w:t>
      </w:r>
      <w:bookmarkEnd w:id="149"/>
    </w:p>
    <w:p w14:paraId="7208F2D7"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This study reflects a snapshot of the experiences of the participants at a specific moment in their graduate education experience. While many of the participants commented on the changes over time, the data collection was not carried out longitudinally over extended periods of time (semesters or years) with the same students.</w:t>
      </w:r>
    </w:p>
    <w:p w14:paraId="5C591DA9"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Consequently, the results are based on the participants' reflections on their learning strategies during their learning experiences. Although these reflections offer insightful glimpses into perceived transformation, a longitudinal design would enable researchers to witness the changes in metacognitive practices as they are happening and unfolding over time. Future longitudinal studies may investigate the development of metacognitive learning strategies over the course of students' academic journeys, their adaptation processes at each level of graduate education, and if adaptation to these processes continues beyond graduation and into students' professional lives.</w:t>
      </w:r>
    </w:p>
    <w:p w14:paraId="61D3CA76" w14:textId="77777777" w:rsidR="003D5428" w:rsidRPr="009B13F9" w:rsidRDefault="00000000" w:rsidP="009B13F9">
      <w:pPr>
        <w:pStyle w:val="Heading2"/>
        <w:keepNext w:val="0"/>
        <w:keepLines w:val="0"/>
        <w:spacing w:after="80" w:line="480" w:lineRule="auto"/>
        <w:rPr>
          <w:rFonts w:ascii="Times New Roman" w:eastAsia="Times New Roman" w:hAnsi="Times New Roman" w:cs="Times New Roman"/>
          <w:sz w:val="24"/>
          <w:szCs w:val="24"/>
        </w:rPr>
      </w:pPr>
      <w:bookmarkStart w:id="150" w:name="_ai60sl3cngsw" w:colFirst="0" w:colLast="0"/>
      <w:bookmarkStart w:id="151" w:name="_Toc235800237"/>
      <w:bookmarkEnd w:id="150"/>
      <w:r w:rsidRPr="009B13F9">
        <w:rPr>
          <w:rFonts w:ascii="Times New Roman" w:eastAsia="Times New Roman" w:hAnsi="Times New Roman" w:cs="Times New Roman"/>
          <w:b/>
          <w:bCs/>
          <w:sz w:val="24"/>
          <w:szCs w:val="24"/>
        </w:rPr>
        <w:t>5.8 Recommendations for Future Research</w:t>
      </w:r>
      <w:bookmarkEnd w:id="151"/>
    </w:p>
    <w:p w14:paraId="150B0A8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results from this study are important for understanding how students adapt and change their metacognitive learning strategies in a multicultural graduate context. The study also </w:t>
      </w:r>
      <w:r w:rsidRPr="009B13F9">
        <w:rPr>
          <w:rFonts w:ascii="Times New Roman" w:eastAsia="Times New Roman" w:hAnsi="Times New Roman" w:cs="Times New Roman"/>
          <w:sz w:val="24"/>
          <w:szCs w:val="24"/>
        </w:rPr>
        <w:lastRenderedPageBreak/>
        <w:t>poses some questions that require further investigation. Based on the results and limitations of the current study, four areas are suggested for future research.</w:t>
      </w:r>
    </w:p>
    <w:p w14:paraId="63A09C76"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52" w:name="_cuqoyxv95wx6" w:colFirst="0" w:colLast="0"/>
      <w:bookmarkStart w:id="153" w:name="_Toc235800238"/>
      <w:bookmarkEnd w:id="152"/>
      <w:r w:rsidRPr="009B13F9">
        <w:rPr>
          <w:rFonts w:ascii="Times New Roman" w:eastAsia="Times New Roman" w:hAnsi="Times New Roman" w:cs="Times New Roman"/>
          <w:b/>
          <w:bCs/>
          <w:color w:val="000000"/>
          <w:sz w:val="24"/>
          <w:szCs w:val="24"/>
        </w:rPr>
        <w:t>5.8.1 Exploring the Relationship Between Artificial Intelligence and Metacognitive Development</w:t>
      </w:r>
      <w:bookmarkEnd w:id="153"/>
    </w:p>
    <w:p w14:paraId="239F4185"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use of artificial intelligence (AI) tools as metacognitive scaffolding elements was one of the most important results of this study. Participants reported using AI tools to break down complex vocabulary, summarize academic readings, provide examples, and explain concepts in preparation for class discussions. In many cases, AI was not meant to replace learning but rather to serve as a supportive tool, allowing students to immerse themselves more confidently in complex learning material.</w:t>
      </w:r>
    </w:p>
    <w:p w14:paraId="2FA15F50"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As AI technologies continue to rapidly expand in the field of higher education, there is a need to investigate the impact of AI on various aspects of metacognitive development. The current research indicates that AI can be used to aid planning, monitoring and evaluation processes, but further research is required to explore the potential long-term effects of AI-assisted learning. There is still no clear answer on whether AI enhances learners' metacognitive awareness, changes their self-regulatory approach or establishes fresh types of dependency. Future research could also explore the critical evaluation of AI-generated content by students, the impact of AI in various disciplines, and the role of educational institutions in fostering responsible and effective AI use. This type of study would help to add to the body of work on the relationship between emerging technologies and self-regulated learning (Azevedo &amp; Cromley, 2004; Zimmerman, 2002).</w:t>
      </w:r>
    </w:p>
    <w:p w14:paraId="6CFC0AA9" w14:textId="77777777" w:rsidR="002F3B2B" w:rsidRPr="009B13F9" w:rsidRDefault="002F3B2B" w:rsidP="009B13F9">
      <w:pPr>
        <w:spacing w:line="480" w:lineRule="auto"/>
        <w:rPr>
          <w:rFonts w:ascii="Times New Roman" w:eastAsia="Times New Roman" w:hAnsi="Times New Roman" w:cs="Times New Roman"/>
          <w:b/>
          <w:bCs/>
          <w:color w:val="000000"/>
          <w:sz w:val="24"/>
          <w:szCs w:val="24"/>
        </w:rPr>
      </w:pPr>
      <w:bookmarkStart w:id="154" w:name="_6sbm14et31h2" w:colFirst="0" w:colLast="0"/>
      <w:bookmarkEnd w:id="154"/>
      <w:r w:rsidRPr="009B13F9">
        <w:rPr>
          <w:rFonts w:ascii="Times New Roman" w:eastAsia="Times New Roman" w:hAnsi="Times New Roman" w:cs="Times New Roman"/>
          <w:b/>
          <w:bCs/>
          <w:color w:val="000000"/>
          <w:sz w:val="24"/>
          <w:szCs w:val="24"/>
        </w:rPr>
        <w:br w:type="page"/>
      </w:r>
    </w:p>
    <w:p w14:paraId="5CD24B4A" w14:textId="5CDB87F8"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55" w:name="_Toc235800239"/>
      <w:r w:rsidRPr="009B13F9">
        <w:rPr>
          <w:rFonts w:ascii="Times New Roman" w:eastAsia="Times New Roman" w:hAnsi="Times New Roman" w:cs="Times New Roman"/>
          <w:b/>
          <w:bCs/>
          <w:color w:val="000000"/>
          <w:sz w:val="24"/>
          <w:szCs w:val="24"/>
        </w:rPr>
        <w:lastRenderedPageBreak/>
        <w:t>5.8.2 Investigating the Metacognitive Experiences of Refugee and Displaced Students</w:t>
      </w:r>
      <w:bookmarkEnd w:id="155"/>
    </w:p>
    <w:p w14:paraId="0A9F3DD0"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current study involved a variety of participants, but some of the participants reported experiences which were influenced by displacement, interrupted education, political instability and limited access to education. These experiences seemed to have an impact on learning strategies and educational aspirations.</w:t>
      </w:r>
    </w:p>
    <w:p w14:paraId="1A13059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Future research needs to be specifically targeted to refugee, displaced and conflict-affected students in higher education institutions. Research has already been written about the learning problems that refugee learners experience, such as: disruption of schooling, language barriers, access to resources, psychological stress (Dryden-Peterson, 2016). But, few studies have examined the impact of these experiences on metacognitive development and learning regulation in the context of higher education. Further research may focus on refugee students' adjustment of learning strategies following educational disruptions, the effect of previous experiences on metacognitive practices, and how higher education institutions can facilitate metacognitive learning among refugee students. This research would help to create a more inclusive understanding of learning in a context of mobility, uncertainty and educational disruption.</w:t>
      </w:r>
    </w:p>
    <w:p w14:paraId="66C95D92"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56" w:name="_huyrbx2tnnsd" w:colFirst="0" w:colLast="0"/>
      <w:bookmarkStart w:id="157" w:name="_Toc235800240"/>
      <w:bookmarkEnd w:id="156"/>
      <w:r w:rsidRPr="009B13F9">
        <w:rPr>
          <w:rFonts w:ascii="Times New Roman" w:eastAsia="Times New Roman" w:hAnsi="Times New Roman" w:cs="Times New Roman"/>
          <w:b/>
          <w:bCs/>
          <w:color w:val="000000"/>
          <w:sz w:val="24"/>
          <w:szCs w:val="24"/>
        </w:rPr>
        <w:t>5.8.3 Longitudinal Studies of Learner Identity Transformation</w:t>
      </w:r>
      <w:bookmarkEnd w:id="157"/>
    </w:p>
    <w:p w14:paraId="56179855" w14:textId="188756E0"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A key discovery of this study was that participants made substantial changes in their ways of thinking about themselves as learners, educators and future professionals. Students characterized as shifting from teacher and grade dependent learning to more autonomous, reflective and socially aware learning identities. But, since it was a </w:t>
      </w:r>
      <w:r w:rsidR="00B646E4" w:rsidRPr="009B13F9">
        <w:rPr>
          <w:rFonts w:ascii="Times New Roman" w:eastAsia="Times New Roman" w:hAnsi="Times New Roman" w:cs="Times New Roman"/>
          <w:sz w:val="24"/>
          <w:szCs w:val="24"/>
        </w:rPr>
        <w:t>cross-sectional</w:t>
      </w:r>
      <w:r w:rsidRPr="009B13F9">
        <w:rPr>
          <w:rFonts w:ascii="Times New Roman" w:eastAsia="Times New Roman" w:hAnsi="Times New Roman" w:cs="Times New Roman"/>
          <w:sz w:val="24"/>
          <w:szCs w:val="24"/>
        </w:rPr>
        <w:t xml:space="preserve"> study, these changes were mainly examined in retrospect.</w:t>
      </w:r>
    </w:p>
    <w:p w14:paraId="623BDD1A"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Future research should take longitudinal approaches in which students are followed over more than one semester or academic year. Longitudinal studies would enable researchers to see </w:t>
      </w:r>
      <w:r w:rsidRPr="009B13F9">
        <w:rPr>
          <w:rFonts w:ascii="Times New Roman" w:eastAsia="Times New Roman" w:hAnsi="Times New Roman" w:cs="Times New Roman"/>
          <w:sz w:val="24"/>
          <w:szCs w:val="24"/>
        </w:rPr>
        <w:lastRenderedPageBreak/>
        <w:t>the development of metacognitive strategies, educational beliefs and learner identities over time and not just as a result of participants' reflections. Such designs might be able to document key transition, adaptation and growth experiences during the educational trajectory. Longitudinal studies can also investigate if the changes seen during graduate school endure beyond the completion of graduate school in the context of professional practice. The long-term consequences of multicultural higher education experiences would be evident in the use of metacognitive strategies by former students as they work within a school, a university, a community group or as an educational leader.</w:t>
      </w:r>
    </w:p>
    <w:p w14:paraId="2D9E21B0" w14:textId="77777777" w:rsidR="003D5428" w:rsidRPr="009B13F9" w:rsidRDefault="00000000" w:rsidP="009B13F9">
      <w:pPr>
        <w:pStyle w:val="Heading3"/>
        <w:keepNext w:val="0"/>
        <w:keepLines w:val="0"/>
        <w:spacing w:before="280" w:line="480" w:lineRule="auto"/>
        <w:rPr>
          <w:rFonts w:ascii="Times New Roman" w:eastAsia="Times New Roman" w:hAnsi="Times New Roman" w:cs="Times New Roman"/>
          <w:sz w:val="24"/>
          <w:szCs w:val="24"/>
        </w:rPr>
      </w:pPr>
      <w:bookmarkStart w:id="158" w:name="_ae2b6mvs455k" w:colFirst="0" w:colLast="0"/>
      <w:bookmarkStart w:id="159" w:name="_Toc235800241"/>
      <w:bookmarkEnd w:id="158"/>
      <w:r w:rsidRPr="009B13F9">
        <w:rPr>
          <w:rFonts w:ascii="Times New Roman" w:eastAsia="Times New Roman" w:hAnsi="Times New Roman" w:cs="Times New Roman"/>
          <w:b/>
          <w:bCs/>
          <w:color w:val="000000"/>
          <w:sz w:val="24"/>
          <w:szCs w:val="24"/>
        </w:rPr>
        <w:t>5.8.4 Comparative Studies Across Graduate Programs and Institutional Contexts</w:t>
      </w:r>
      <w:bookmarkEnd w:id="159"/>
    </w:p>
    <w:p w14:paraId="267F1E5A"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present study was particular to the students of MA in Education of a women-centric university in Chattogram, Bangladesh. This context was rich in understanding the unique multicultural learning environment, but further research is needed to determine if the same pattern exists in other graduate programs and institutional contexts.</w:t>
      </w:r>
    </w:p>
    <w:p w14:paraId="75BC2C1F"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Comparative research of various academic disciplines might explore the effect of disciplinary cultures on developing metacognitive strategies. For instance, students in education, engineering, business, health sciences or social sciences may have different learning needs that influence their learning planning, monitoring and evaluation. Such comparisons would identify findings unique to education students and those that might be more generally useful in other higher education settings. Future research may also examine multicultural institutions and more culturally homogeneous universities to investigate the effects of different degrees of diversity on metacognitive development. Studies across institutions may give more in-depth understanding of the role of multicultural interaction in the cognitive, social and epistemological development of learners. </w:t>
      </w:r>
    </w:p>
    <w:p w14:paraId="4EF5A1C3" w14:textId="77777777" w:rsidR="003D5428" w:rsidRPr="009B13F9" w:rsidRDefault="00000000" w:rsidP="009B13F9">
      <w:pPr>
        <w:pStyle w:val="Heading1"/>
        <w:keepNext w:val="0"/>
        <w:keepLines w:val="0"/>
        <w:spacing w:before="480" w:line="480" w:lineRule="auto"/>
        <w:jc w:val="center"/>
        <w:rPr>
          <w:rFonts w:ascii="Times New Roman" w:eastAsia="Times New Roman" w:hAnsi="Times New Roman" w:cs="Times New Roman"/>
          <w:b/>
          <w:bCs/>
          <w:sz w:val="24"/>
          <w:szCs w:val="24"/>
        </w:rPr>
      </w:pPr>
      <w:bookmarkStart w:id="160" w:name="_9ffeqd8nopau" w:colFirst="0" w:colLast="0"/>
      <w:bookmarkStart w:id="161" w:name="_Toc235800242"/>
      <w:bookmarkEnd w:id="160"/>
      <w:r w:rsidRPr="009B13F9">
        <w:rPr>
          <w:rFonts w:ascii="Times New Roman" w:eastAsia="Times New Roman" w:hAnsi="Times New Roman" w:cs="Times New Roman"/>
          <w:b/>
          <w:bCs/>
          <w:sz w:val="24"/>
          <w:szCs w:val="24"/>
        </w:rPr>
        <w:lastRenderedPageBreak/>
        <w:t>6. Conclusion</w:t>
      </w:r>
      <w:bookmarkEnd w:id="161"/>
    </w:p>
    <w:p w14:paraId="404BA376"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purpose of this study was to examine the negotiation and transformation of metacognitive learning strategies of the students in the Master of Arts in Education (MA in Ed) program at a women-centric university in Chattogram, Bangladesh in a multicultural graduate classroom. The study was guided by an interpretivist paradigm and a qualitative case study design, with a focus on the planning, monitoring, and evaluation of students' learning, the nature of the learning approaches employed by students from various cultural, linguistic and educational backgrounds, how these approaches change over time in a multicultural setting, and the similarities and differences between culturally situated conceptions of learning and dominant conceptions of metacognition in the West.</w:t>
      </w:r>
    </w:p>
    <w:p w14:paraId="30CAB5B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results show that metacognitive learning strategies are not just cognitive skills which learners have or do not have. Instead, they are socially negotiated, culturally located, emotionally mediated and continually evolving practices that evolve over time and through ongoing engagement with people, places, technologies and previous learning experiences. In interviews, focus group discussions, written responses and photovoice submissions, participants talked about a process of adaptation that went beyond geography-specific models of planning, monitoring and evaluation. Their experiences show metacognition to be a multi-dimensional, holistic process whereby learners negotiate the complex academic transitions, deep cultural differences, emotional challenges, and actively create new understandings of themselves as learners and future educators.</w:t>
      </w:r>
    </w:p>
    <w:p w14:paraId="6BAB05A0"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central research question of the study was: What are the ways in which students negotiate and transform metacognitive learning strategies in a multicultural graduate classroom? The empirical results indicate that this transformation takes place in the following three related </w:t>
      </w:r>
      <w:r w:rsidRPr="009B13F9">
        <w:rPr>
          <w:rFonts w:ascii="Times New Roman" w:eastAsia="Times New Roman" w:hAnsi="Times New Roman" w:cs="Times New Roman"/>
          <w:sz w:val="24"/>
          <w:szCs w:val="24"/>
        </w:rPr>
        <w:lastRenderedPageBreak/>
        <w:t>processes: (a) the structural implementation of tactical scaffolding systems that facilitate rapid adaptation to unfamiliar pedagogical expectations, (b) active engagement in socially distributed and multicultural ways of meaning-making that broaden baseline epistemological views, and (c) ongoing incorporation of affective self-regulation, cultural identity, and civic involvement into their everyday pedagogical adaptations.</w:t>
      </w:r>
    </w:p>
    <w:p w14:paraId="1B03AF88"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first theme, Tactical Scaffolding and Environment Engineering in Response to Pedagogical Shock, identified that students came into the program with educational habits formed in a variety of regional schooling systems where there was a focus on rote memorization, performance in high-stakes examinations, authority of the teacher and passive participation in the classroom. After the participants entered the discussion-based, seminar-driven graduate environment, they immediately faced the problems of academic reading depth, English medium requirements, spontaneous oral participation requirements, and independent learning processes. They in turn, actively created external metacognitive scaffolds to assist in systemic adaptation. These ranged from structured physical planning systems to visual task trackers, intentional engineering of the workspace, deep reading protocols, and AI-assisted text comprehension strategies and externalized monitoring frameworks. Students were not only metacognizing internally, but they also brought their metacognition out into the physical world, technological devices, and everyday routines.</w:t>
      </w:r>
    </w:p>
    <w:p w14:paraId="7771B72A"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The second theme, From Monolithic Truth to Epistemological Pluralism through Peer-Mediated Disagreement showed that the interaction between the cultures changed participants' conceptions of learning and knowledge validation. At first, many pupils spoke of basic routes to education where knowledge is assumed to be certain, fixed, single, and to be found only in authoritative texts, like textbooks or teachers. But, baseline assumptions were challenged by </w:t>
      </w:r>
      <w:r w:rsidRPr="009B13F9">
        <w:rPr>
          <w:rFonts w:ascii="Times New Roman" w:eastAsia="Times New Roman" w:hAnsi="Times New Roman" w:cs="Times New Roman"/>
          <w:sz w:val="24"/>
          <w:szCs w:val="24"/>
        </w:rPr>
        <w:lastRenderedPageBreak/>
        <w:t>sustained interaction with peers from other countries, other educational systems, other language and cultural backgrounds and other lived realities. Students realized that there may be more than one legitimate interpretation of complex education questions through extensive small group discussion, productive disagreement, collaborative learning tasks and continued exposure to multiple viewpoints. There was a growing social and distributed nature of metacognition, with peer networks serving as ongoing feedback, clarification, expansion of perspective and intellectual challenge. Thus, the participants became more flexible, reflexive and pluralistic in constructing knowledge.</w:t>
      </w:r>
    </w:p>
    <w:p w14:paraId="608CC064"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third theme, Affective Self-Regulation and the Re-Anchoring of Education as a Civic Resilience Strategy, showed that metacognitive learning is strongly connected to emotional wellbeing, cultural continuity and social purpose. The participants spoke of the heavy academic demands they faced, as well as the language barriers, displacement, profound cultural changes, historical educational inequalities, and personal family obligations. They devised affective self-regulation strategies that involved emotional coping mechanisms, structured self-care routines, spiritual practices, social support systems and culturally meaningful forms of spatial grounding, to facilitate cognitive learning. Meanwhile, there was a major shift in the attitudes of many participants towards their own education. Learning was directly linked to long-term community improvement, social justice, regional educational reform, gender empowerment and future professional contributions. As a result, there were wider changes in personal identity, values, and aspirations for the community.</w:t>
      </w:r>
    </w:p>
    <w:p w14:paraId="12BD992B"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In sum, these findings question the narrow individualistic and purely cognitive conceptions of metacognition. Classical frameworks focus on the internal awareness and self-regulation of the thinking loops of learners (Flavell, 1979), but these scholars' experiences </w:t>
      </w:r>
      <w:r w:rsidRPr="009B13F9">
        <w:rPr>
          <w:rFonts w:ascii="Times New Roman" w:eastAsia="Times New Roman" w:hAnsi="Times New Roman" w:cs="Times New Roman"/>
          <w:sz w:val="24"/>
          <w:szCs w:val="24"/>
        </w:rPr>
        <w:lastRenderedPageBreak/>
        <w:t>indicate that metacognitive learning is not separable from the social, cultural, emotional and technological contexts in which it takes place. Planning, monitoring and performance evaluation were often spread out in peer networks, digital applications, physical environments, cultural resources, and structural support systems. Metacognition was therefore not only an internal mental process, but also a practice, situated in a wider network of meanings and social relations.</w:t>
      </w:r>
    </w:p>
    <w:p w14:paraId="0EA9BC20"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study also makes a sociocultural contribution to understandings of learning by showing that metacognitive development is a result of active involvement in a range of communities of learners. In line with sociocultural approaches (Vygotsky, 1978), participants' cognitive development was influenced by dialogue interaction, peer mediation, and first-hand experiences of other perspectives. Learning was not an individual activity but a socially mediated process in which individuals negotiated conceptual understanding with others. Moreover, the findings align with culturally responsive approaches to education by highlighting how learners draw on their cultural experiences, pasts and community orientations as resources for learning and not barriers to be surmounted (Gay, 2018; Ladson-Billings, 1995).</w:t>
      </w:r>
    </w:p>
    <w:p w14:paraId="20A2BF44"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study also emphasizes the importance of technology in the modern metacognitive approach. The findings indicate that digital tools, such as AI, are serving as cognitive and linguistic scaffolds in higher education, as evidenced by the participants' descriptions of AI-assisted learning. Generative AI was a valuable tool for multilingual learners working with challenging texts and unfamiliar disciplinary vocabulary, when it came to planning, monitoring comprehension, and preparing for seminars. These results indicate new directions for research in technology mediated metacognition.</w:t>
      </w:r>
    </w:p>
    <w:p w14:paraId="1E904A8E"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Moreover, the study shows that multicultural graduate classrooms are potent spaces for intellectual, personal, and professional change. The exposure to different perspectives not only </w:t>
      </w:r>
      <w:r w:rsidRPr="009B13F9">
        <w:rPr>
          <w:rFonts w:ascii="Times New Roman" w:eastAsia="Times New Roman" w:hAnsi="Times New Roman" w:cs="Times New Roman"/>
          <w:sz w:val="24"/>
          <w:szCs w:val="24"/>
        </w:rPr>
        <w:lastRenderedPageBreak/>
        <w:t>enriched the understanding of the concepts of education, but also challenged their assumption of knowledge, learning and teaching authority. Participants were more open to multiple perspectives, more aware of themselves and more committed to educational equity and social impact as a result of interacting with classmates from diverse backgrounds. The transformations indicate that multicultural learning contexts facilitate development that goes beyond only narrow definitions of academic achievement.</w:t>
      </w:r>
    </w:p>
    <w:p w14:paraId="2088DB91"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The results also have implications for other higher education institutions that are trying to cater to an ever-expanding student body. Not all students share the same definition of learning, participation or academic success when they come to graduate school. Rather, institutions need to acknowledge the unique educational backgrounds, linguistic experiences, cultural values and learning practices that students carry with them into the classroom. It is important, therefore, to ensure learner success through holistic approaches that focus on all the aspects of learning – cognitive, emotional, social, cultural and technological.</w:t>
      </w:r>
    </w:p>
    <w:p w14:paraId="3D5C0312" w14:textId="77777777" w:rsidR="003D5428" w:rsidRPr="009B13F9" w:rsidRDefault="00000000" w:rsidP="009B13F9">
      <w:pPr>
        <w:spacing w:line="480" w:lineRule="auto"/>
        <w:ind w:firstLine="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Finally, this study suggests that metacognition in multicultural higher education is a socially, culturally, emotionally and technologically negotiated process. Students don't just control cognitive strategies individually. They are active in building a system of structures of support, accessing cultural and relational resources, dealing with the emotional aspects of the situation and interacting with a variety of communities of learners in order to make meaning of new academic environments. They change their ways of learning in these processes and also their conception of the nature of knowledge, identity and their roles in society. As higher education continues to grow beyond cultural, linguistic and national boundaries, it is important to gain insight into these broader aspects of metacognitive learning. The experiences of the students in this study were evidence that learning in multicultural graduate classrooms is not just about </w:t>
      </w:r>
      <w:r w:rsidRPr="009B13F9">
        <w:rPr>
          <w:rFonts w:ascii="Times New Roman" w:eastAsia="Times New Roman" w:hAnsi="Times New Roman" w:cs="Times New Roman"/>
          <w:sz w:val="24"/>
          <w:szCs w:val="24"/>
        </w:rPr>
        <w:lastRenderedPageBreak/>
        <w:t xml:space="preserve">knowledge. It is an adaptive, negotiating, transforming, and growing process, in which the learners learn to think differently, to understand others differently, and to be able to contribute differently to their community and the world. </w:t>
      </w:r>
    </w:p>
    <w:p w14:paraId="406625D5" w14:textId="77777777" w:rsidR="002F3B2B" w:rsidRPr="009B13F9" w:rsidRDefault="002F3B2B" w:rsidP="009B13F9">
      <w:pPr>
        <w:spacing w:line="480" w:lineRule="auto"/>
        <w:rPr>
          <w:rFonts w:ascii="Times New Roman" w:eastAsia="Times New Roman" w:hAnsi="Times New Roman" w:cs="Times New Roman"/>
          <w:b/>
          <w:bCs/>
          <w:sz w:val="24"/>
          <w:szCs w:val="24"/>
        </w:rPr>
      </w:pPr>
      <w:bookmarkStart w:id="162" w:name="_rk7zwpf4whg" w:colFirst="0" w:colLast="0"/>
      <w:bookmarkEnd w:id="162"/>
      <w:r w:rsidRPr="009B13F9">
        <w:rPr>
          <w:rFonts w:ascii="Times New Roman" w:eastAsia="Times New Roman" w:hAnsi="Times New Roman" w:cs="Times New Roman"/>
          <w:b/>
          <w:bCs/>
          <w:sz w:val="24"/>
          <w:szCs w:val="24"/>
        </w:rPr>
        <w:br w:type="page"/>
      </w:r>
    </w:p>
    <w:p w14:paraId="0DEEA8A0" w14:textId="1C31DFDF" w:rsidR="003D5428" w:rsidRPr="009B13F9" w:rsidRDefault="00000000" w:rsidP="009B13F9">
      <w:pPr>
        <w:pStyle w:val="Heading1"/>
        <w:spacing w:line="480" w:lineRule="auto"/>
        <w:jc w:val="center"/>
        <w:rPr>
          <w:rFonts w:ascii="Times New Roman" w:eastAsia="Times New Roman" w:hAnsi="Times New Roman" w:cs="Times New Roman"/>
          <w:sz w:val="24"/>
          <w:szCs w:val="24"/>
        </w:rPr>
      </w:pPr>
      <w:bookmarkStart w:id="163" w:name="_Toc235800243"/>
      <w:r w:rsidRPr="009B13F9">
        <w:rPr>
          <w:rFonts w:ascii="Times New Roman" w:eastAsia="Times New Roman" w:hAnsi="Times New Roman" w:cs="Times New Roman"/>
          <w:b/>
          <w:bCs/>
          <w:sz w:val="24"/>
          <w:szCs w:val="24"/>
        </w:rPr>
        <w:lastRenderedPageBreak/>
        <w:t>References</w:t>
      </w:r>
      <w:bookmarkEnd w:id="163"/>
    </w:p>
    <w:p w14:paraId="17C7C8DC"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Akinrinola, T., Jääskelä, P., Khosravi, H., Viberg, O., Roll, I., Knight, S., &amp; Muukkonen, H. (2025). Generative artificial intelligence in self-regulated learning: A systematic review. </w:t>
      </w:r>
      <w:r w:rsidRPr="009B13F9">
        <w:rPr>
          <w:rFonts w:ascii="Times New Roman" w:eastAsia="Times New Roman" w:hAnsi="Times New Roman" w:cs="Times New Roman"/>
          <w:i/>
          <w:iCs/>
          <w:sz w:val="24"/>
          <w:szCs w:val="24"/>
        </w:rPr>
        <w:t>Computers and Education: Artificial Intelligence</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8</w:t>
      </w:r>
      <w:r w:rsidRPr="009B13F9">
        <w:rPr>
          <w:rFonts w:ascii="Times New Roman" w:eastAsia="Times New Roman" w:hAnsi="Times New Roman" w:cs="Times New Roman"/>
          <w:sz w:val="24"/>
          <w:szCs w:val="24"/>
        </w:rPr>
        <w:t>, Article 100325.</w:t>
      </w:r>
      <w:hyperlink r:id="rId9">
        <w:r w:rsidR="003D5428" w:rsidRPr="009B13F9">
          <w:rPr>
            <w:rFonts w:ascii="Times New Roman" w:eastAsia="Times New Roman" w:hAnsi="Times New Roman" w:cs="Times New Roman"/>
            <w:sz w:val="24"/>
            <w:szCs w:val="24"/>
          </w:rPr>
          <w:t xml:space="preserve"> </w:t>
        </w:r>
      </w:hyperlink>
      <w:hyperlink r:id="rId10">
        <w:r w:rsidR="003D5428" w:rsidRPr="009B13F9">
          <w:rPr>
            <w:rFonts w:ascii="Times New Roman" w:eastAsia="Times New Roman" w:hAnsi="Times New Roman" w:cs="Times New Roman"/>
            <w:color w:val="1155CC"/>
            <w:sz w:val="24"/>
            <w:szCs w:val="24"/>
            <w:u w:val="single"/>
          </w:rPr>
          <w:t>https://doi.org/10.1016/j.caeai.2024.100325</w:t>
        </w:r>
      </w:hyperlink>
    </w:p>
    <w:p w14:paraId="66716561"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Al-Nofaie, H. (2022). The impact of cultural background on metacognitive strategy use. </w:t>
      </w:r>
      <w:r w:rsidRPr="009B13F9">
        <w:rPr>
          <w:rFonts w:ascii="Times New Roman" w:eastAsia="Times New Roman" w:hAnsi="Times New Roman" w:cs="Times New Roman"/>
          <w:i/>
          <w:iCs/>
          <w:sz w:val="24"/>
          <w:szCs w:val="24"/>
        </w:rPr>
        <w:t>Applied Linguistics Review</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13</w:t>
      </w:r>
      <w:r w:rsidRPr="009B13F9">
        <w:rPr>
          <w:rFonts w:ascii="Times New Roman" w:eastAsia="Times New Roman" w:hAnsi="Times New Roman" w:cs="Times New Roman"/>
          <w:sz w:val="24"/>
          <w:szCs w:val="24"/>
        </w:rPr>
        <w:t>(5), 657–679.</w:t>
      </w:r>
      <w:hyperlink r:id="rId11">
        <w:r w:rsidR="003D5428" w:rsidRPr="009B13F9">
          <w:rPr>
            <w:rFonts w:ascii="Times New Roman" w:eastAsia="Times New Roman" w:hAnsi="Times New Roman" w:cs="Times New Roman"/>
            <w:sz w:val="24"/>
            <w:szCs w:val="24"/>
          </w:rPr>
          <w:t xml:space="preserve"> </w:t>
        </w:r>
      </w:hyperlink>
      <w:hyperlink r:id="rId12">
        <w:r w:rsidR="003D5428" w:rsidRPr="009B13F9">
          <w:rPr>
            <w:rFonts w:ascii="Times New Roman" w:eastAsia="Times New Roman" w:hAnsi="Times New Roman" w:cs="Times New Roman"/>
            <w:color w:val="1155CC"/>
            <w:sz w:val="24"/>
            <w:szCs w:val="24"/>
            <w:u w:val="single"/>
          </w:rPr>
          <w:t>https://doi.org/10.1515/applirev-2022-0033</w:t>
        </w:r>
      </w:hyperlink>
    </w:p>
    <w:p w14:paraId="274B22B1"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Azevedo, R., &amp; Cromley, J. G. (2004). Does training on self-regulated learning facilitate students' learning with hypermedia? </w:t>
      </w:r>
      <w:r w:rsidRPr="009B13F9">
        <w:rPr>
          <w:rFonts w:ascii="Times New Roman" w:eastAsia="Times New Roman" w:hAnsi="Times New Roman" w:cs="Times New Roman"/>
          <w:i/>
          <w:iCs/>
          <w:sz w:val="24"/>
          <w:szCs w:val="24"/>
        </w:rPr>
        <w:t>Journal of Educational Psychology</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96</w:t>
      </w:r>
      <w:r w:rsidRPr="009B13F9">
        <w:rPr>
          <w:rFonts w:ascii="Times New Roman" w:eastAsia="Times New Roman" w:hAnsi="Times New Roman" w:cs="Times New Roman"/>
          <w:sz w:val="24"/>
          <w:szCs w:val="24"/>
        </w:rPr>
        <w:t>(3), 523–535.</w:t>
      </w:r>
      <w:hyperlink r:id="rId13">
        <w:r w:rsidR="003D5428" w:rsidRPr="009B13F9">
          <w:rPr>
            <w:rFonts w:ascii="Times New Roman" w:eastAsia="Times New Roman" w:hAnsi="Times New Roman" w:cs="Times New Roman"/>
            <w:sz w:val="24"/>
            <w:szCs w:val="24"/>
          </w:rPr>
          <w:t xml:space="preserve"> </w:t>
        </w:r>
      </w:hyperlink>
      <w:hyperlink r:id="rId14">
        <w:r w:rsidR="003D5428" w:rsidRPr="009B13F9">
          <w:rPr>
            <w:rFonts w:ascii="Times New Roman" w:eastAsia="Times New Roman" w:hAnsi="Times New Roman" w:cs="Times New Roman"/>
            <w:color w:val="1155CC"/>
            <w:sz w:val="24"/>
            <w:szCs w:val="24"/>
            <w:u w:val="single"/>
          </w:rPr>
          <w:t>https://doi.org/10.1037/0022-0663.96.3.523</w:t>
        </w:r>
      </w:hyperlink>
    </w:p>
    <w:p w14:paraId="087E9BB9"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Berger, P. L., &amp; Luckmann, T. (1966). </w:t>
      </w:r>
      <w:r w:rsidRPr="009B13F9">
        <w:rPr>
          <w:rFonts w:ascii="Times New Roman" w:eastAsia="Times New Roman" w:hAnsi="Times New Roman" w:cs="Times New Roman"/>
          <w:i/>
          <w:iCs/>
          <w:sz w:val="24"/>
          <w:szCs w:val="24"/>
        </w:rPr>
        <w:t>The social construction of reality: A treatise in the sociology of knowledge</w:t>
      </w:r>
      <w:r w:rsidRPr="009B13F9">
        <w:rPr>
          <w:rFonts w:ascii="Times New Roman" w:eastAsia="Times New Roman" w:hAnsi="Times New Roman" w:cs="Times New Roman"/>
          <w:sz w:val="24"/>
          <w:szCs w:val="24"/>
        </w:rPr>
        <w:t>. Anchor Books.</w:t>
      </w:r>
    </w:p>
    <w:p w14:paraId="7C28BD41"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Berger, R. (2015). Now I see it, now I don't: Researcher's position and reflexivity in qualitative research. </w:t>
      </w:r>
      <w:r w:rsidRPr="009B13F9">
        <w:rPr>
          <w:rFonts w:ascii="Times New Roman" w:eastAsia="Times New Roman" w:hAnsi="Times New Roman" w:cs="Times New Roman"/>
          <w:i/>
          <w:iCs/>
          <w:sz w:val="24"/>
          <w:szCs w:val="24"/>
        </w:rPr>
        <w:t>Qualitative Research</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15</w:t>
      </w:r>
      <w:r w:rsidRPr="009B13F9">
        <w:rPr>
          <w:rFonts w:ascii="Times New Roman" w:eastAsia="Times New Roman" w:hAnsi="Times New Roman" w:cs="Times New Roman"/>
          <w:sz w:val="24"/>
          <w:szCs w:val="24"/>
        </w:rPr>
        <w:t>(2), 219–234.</w:t>
      </w:r>
      <w:hyperlink r:id="rId15">
        <w:r w:rsidR="003D5428" w:rsidRPr="009B13F9">
          <w:rPr>
            <w:rFonts w:ascii="Times New Roman" w:eastAsia="Times New Roman" w:hAnsi="Times New Roman" w:cs="Times New Roman"/>
            <w:sz w:val="24"/>
            <w:szCs w:val="24"/>
          </w:rPr>
          <w:t xml:space="preserve"> </w:t>
        </w:r>
      </w:hyperlink>
      <w:hyperlink r:id="rId16">
        <w:r w:rsidR="003D5428" w:rsidRPr="009B13F9">
          <w:rPr>
            <w:rFonts w:ascii="Times New Roman" w:eastAsia="Times New Roman" w:hAnsi="Times New Roman" w:cs="Times New Roman"/>
            <w:color w:val="1155CC"/>
            <w:sz w:val="24"/>
            <w:szCs w:val="24"/>
            <w:u w:val="single"/>
          </w:rPr>
          <w:t>https://doi.org/10.1177/1468794112468475</w:t>
        </w:r>
      </w:hyperlink>
    </w:p>
    <w:p w14:paraId="41F15788"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Braun, V., &amp; Clarke, V. (2022). </w:t>
      </w:r>
      <w:r w:rsidRPr="009B13F9">
        <w:rPr>
          <w:rFonts w:ascii="Times New Roman" w:eastAsia="Times New Roman" w:hAnsi="Times New Roman" w:cs="Times New Roman"/>
          <w:i/>
          <w:iCs/>
          <w:sz w:val="24"/>
          <w:szCs w:val="24"/>
        </w:rPr>
        <w:t>Thematic analysis: A practical guide</w:t>
      </w:r>
      <w:r w:rsidRPr="009B13F9">
        <w:rPr>
          <w:rFonts w:ascii="Times New Roman" w:eastAsia="Times New Roman" w:hAnsi="Times New Roman" w:cs="Times New Roman"/>
          <w:sz w:val="24"/>
          <w:szCs w:val="24"/>
        </w:rPr>
        <w:t>. Sage.</w:t>
      </w:r>
    </w:p>
    <w:p w14:paraId="62B7CC0E"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Brown, A. L. (1987). Metacognition, executive control, self-regulation, and other more mysterious mechanisms. In F. E. Weinert &amp; R. H. Kluwe (Eds.), </w:t>
      </w:r>
      <w:r w:rsidRPr="009B13F9">
        <w:rPr>
          <w:rFonts w:ascii="Times New Roman" w:eastAsia="Times New Roman" w:hAnsi="Times New Roman" w:cs="Times New Roman"/>
          <w:i/>
          <w:iCs/>
          <w:sz w:val="24"/>
          <w:szCs w:val="24"/>
        </w:rPr>
        <w:t>Metacognition, motivation, and understanding</w:t>
      </w:r>
      <w:r w:rsidRPr="009B13F9">
        <w:rPr>
          <w:rFonts w:ascii="Times New Roman" w:eastAsia="Times New Roman" w:hAnsi="Times New Roman" w:cs="Times New Roman"/>
          <w:sz w:val="24"/>
          <w:szCs w:val="24"/>
        </w:rPr>
        <w:t xml:space="preserve"> (pp. 65–116). Lawrence Erlbaum Associates.</w:t>
      </w:r>
    </w:p>
    <w:p w14:paraId="401C1226"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lastRenderedPageBreak/>
        <w:t xml:space="preserve">Brycz, H., Wojciszke, B., &amp; Kozak, M. (2015). Cross-cultural differences in metacognitive self. </w:t>
      </w:r>
      <w:r w:rsidRPr="009B13F9">
        <w:rPr>
          <w:rFonts w:ascii="Times New Roman" w:eastAsia="Times New Roman" w:hAnsi="Times New Roman" w:cs="Times New Roman"/>
          <w:i/>
          <w:iCs/>
          <w:sz w:val="24"/>
          <w:szCs w:val="24"/>
        </w:rPr>
        <w:t>Psychological Reports</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117</w:t>
      </w:r>
      <w:r w:rsidRPr="009B13F9">
        <w:rPr>
          <w:rFonts w:ascii="Times New Roman" w:eastAsia="Times New Roman" w:hAnsi="Times New Roman" w:cs="Times New Roman"/>
          <w:sz w:val="24"/>
          <w:szCs w:val="24"/>
        </w:rPr>
        <w:t>(1), 30–47.</w:t>
      </w:r>
      <w:hyperlink r:id="rId17">
        <w:r w:rsidR="003D5428" w:rsidRPr="009B13F9">
          <w:rPr>
            <w:rFonts w:ascii="Times New Roman" w:eastAsia="Times New Roman" w:hAnsi="Times New Roman" w:cs="Times New Roman"/>
            <w:sz w:val="24"/>
            <w:szCs w:val="24"/>
          </w:rPr>
          <w:t xml:space="preserve"> </w:t>
        </w:r>
      </w:hyperlink>
      <w:hyperlink r:id="rId18">
        <w:r w:rsidR="003D5428" w:rsidRPr="009B13F9">
          <w:rPr>
            <w:rFonts w:ascii="Times New Roman" w:eastAsia="Times New Roman" w:hAnsi="Times New Roman" w:cs="Times New Roman"/>
            <w:color w:val="1155CC"/>
            <w:sz w:val="24"/>
            <w:szCs w:val="24"/>
            <w:u w:val="single"/>
          </w:rPr>
          <w:t>https://doi.org/10.2466/07.PR0.117c14z9</w:t>
        </w:r>
      </w:hyperlink>
    </w:p>
    <w:p w14:paraId="0FF10636"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Chavez, C. (2008). Conceptualizing the insider/outsider positionality: A companion for the beginning researcher. </w:t>
      </w:r>
      <w:r w:rsidRPr="009B13F9">
        <w:rPr>
          <w:rFonts w:ascii="Times New Roman" w:eastAsia="Times New Roman" w:hAnsi="Times New Roman" w:cs="Times New Roman"/>
          <w:i/>
          <w:iCs/>
          <w:sz w:val="24"/>
          <w:szCs w:val="24"/>
        </w:rPr>
        <w:t>Qualitative Research</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8</w:t>
      </w:r>
      <w:r w:rsidRPr="009B13F9">
        <w:rPr>
          <w:rFonts w:ascii="Times New Roman" w:eastAsia="Times New Roman" w:hAnsi="Times New Roman" w:cs="Times New Roman"/>
          <w:sz w:val="24"/>
          <w:szCs w:val="24"/>
        </w:rPr>
        <w:t>(4), 475–494.</w:t>
      </w:r>
      <w:hyperlink r:id="rId19">
        <w:r w:rsidR="003D5428" w:rsidRPr="009B13F9">
          <w:rPr>
            <w:rFonts w:ascii="Times New Roman" w:eastAsia="Times New Roman" w:hAnsi="Times New Roman" w:cs="Times New Roman"/>
            <w:sz w:val="24"/>
            <w:szCs w:val="24"/>
          </w:rPr>
          <w:t xml:space="preserve"> </w:t>
        </w:r>
      </w:hyperlink>
      <w:hyperlink r:id="rId20">
        <w:r w:rsidR="003D5428" w:rsidRPr="009B13F9">
          <w:rPr>
            <w:rFonts w:ascii="Times New Roman" w:eastAsia="Times New Roman" w:hAnsi="Times New Roman" w:cs="Times New Roman"/>
            <w:color w:val="1155CC"/>
            <w:sz w:val="24"/>
            <w:szCs w:val="24"/>
            <w:u w:val="single"/>
          </w:rPr>
          <w:t>https://doi.org/10.1177/1468794108093898</w:t>
        </w:r>
      </w:hyperlink>
    </w:p>
    <w:p w14:paraId="2C880742"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Chen, X., Zou, D., Xie, H., Cheng, G., &amp; Liu, C. (2024). Two decades of artificial intelligence in education. </w:t>
      </w:r>
      <w:r w:rsidRPr="009B13F9">
        <w:rPr>
          <w:rFonts w:ascii="Times New Roman" w:eastAsia="Times New Roman" w:hAnsi="Times New Roman" w:cs="Times New Roman"/>
          <w:i/>
          <w:iCs/>
          <w:sz w:val="24"/>
          <w:szCs w:val="24"/>
        </w:rPr>
        <w:t>Educational Technology &amp; Society</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27</w:t>
      </w:r>
      <w:r w:rsidRPr="009B13F9">
        <w:rPr>
          <w:rFonts w:ascii="Times New Roman" w:eastAsia="Times New Roman" w:hAnsi="Times New Roman" w:cs="Times New Roman"/>
          <w:sz w:val="24"/>
          <w:szCs w:val="24"/>
        </w:rPr>
        <w:t>(1), 1–17.</w:t>
      </w:r>
    </w:p>
    <w:p w14:paraId="798B26F2"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Creswell, J. W., &amp; Poth, C. N. (2018). </w:t>
      </w:r>
      <w:r w:rsidRPr="009B13F9">
        <w:rPr>
          <w:rFonts w:ascii="Times New Roman" w:eastAsia="Times New Roman" w:hAnsi="Times New Roman" w:cs="Times New Roman"/>
          <w:i/>
          <w:iCs/>
          <w:sz w:val="24"/>
          <w:szCs w:val="24"/>
        </w:rPr>
        <w:t>Qualitative inquiry and research design: Choosing among five approaches</w:t>
      </w:r>
      <w:r w:rsidRPr="009B13F9">
        <w:rPr>
          <w:rFonts w:ascii="Times New Roman" w:eastAsia="Times New Roman" w:hAnsi="Times New Roman" w:cs="Times New Roman"/>
          <w:sz w:val="24"/>
          <w:szCs w:val="24"/>
        </w:rPr>
        <w:t xml:space="preserve"> (4th ed.). Sage.</w:t>
      </w:r>
    </w:p>
    <w:p w14:paraId="6A62060D"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Crotty, M. (1998). </w:t>
      </w:r>
      <w:r w:rsidRPr="009B13F9">
        <w:rPr>
          <w:rFonts w:ascii="Times New Roman" w:eastAsia="Times New Roman" w:hAnsi="Times New Roman" w:cs="Times New Roman"/>
          <w:i/>
          <w:iCs/>
          <w:sz w:val="24"/>
          <w:szCs w:val="24"/>
        </w:rPr>
        <w:t>The foundations of social research: Meaning and perspective in the research process</w:t>
      </w:r>
      <w:r w:rsidRPr="009B13F9">
        <w:rPr>
          <w:rFonts w:ascii="Times New Roman" w:eastAsia="Times New Roman" w:hAnsi="Times New Roman" w:cs="Times New Roman"/>
          <w:sz w:val="24"/>
          <w:szCs w:val="24"/>
        </w:rPr>
        <w:t>. Sage.</w:t>
      </w:r>
    </w:p>
    <w:p w14:paraId="4D8F0F8B"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Dryden-Peterson, S. (2016). Refugee education in countries of first asylum: Breaking open the black box of pre-resettlement experiences. </w:t>
      </w:r>
      <w:r w:rsidRPr="009B13F9">
        <w:rPr>
          <w:rFonts w:ascii="Times New Roman" w:eastAsia="Times New Roman" w:hAnsi="Times New Roman" w:cs="Times New Roman"/>
          <w:i/>
          <w:iCs/>
          <w:sz w:val="24"/>
          <w:szCs w:val="24"/>
        </w:rPr>
        <w:t>Theory and Research in Education</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14</w:t>
      </w:r>
      <w:r w:rsidRPr="009B13F9">
        <w:rPr>
          <w:rFonts w:ascii="Times New Roman" w:eastAsia="Times New Roman" w:hAnsi="Times New Roman" w:cs="Times New Roman"/>
          <w:sz w:val="24"/>
          <w:szCs w:val="24"/>
        </w:rPr>
        <w:t>(2), 131–148.</w:t>
      </w:r>
      <w:hyperlink r:id="rId21">
        <w:r w:rsidR="003D5428" w:rsidRPr="009B13F9">
          <w:rPr>
            <w:rFonts w:ascii="Times New Roman" w:eastAsia="Times New Roman" w:hAnsi="Times New Roman" w:cs="Times New Roman"/>
            <w:sz w:val="24"/>
            <w:szCs w:val="24"/>
          </w:rPr>
          <w:t xml:space="preserve"> </w:t>
        </w:r>
      </w:hyperlink>
      <w:hyperlink r:id="rId22">
        <w:r w:rsidR="003D5428" w:rsidRPr="009B13F9">
          <w:rPr>
            <w:rFonts w:ascii="Times New Roman" w:eastAsia="Times New Roman" w:hAnsi="Times New Roman" w:cs="Times New Roman"/>
            <w:color w:val="1155CC"/>
            <w:sz w:val="24"/>
            <w:szCs w:val="24"/>
            <w:u w:val="single"/>
          </w:rPr>
          <w:t>https://doi.org/10.1177/1477878515622703</w:t>
        </w:r>
      </w:hyperlink>
    </w:p>
    <w:p w14:paraId="045413C7"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Durkin, K. (2008). The adaptation of East Asian masters students to western norms of critical thinking and argumentation in the UK. </w:t>
      </w:r>
      <w:r w:rsidRPr="009B13F9">
        <w:rPr>
          <w:rFonts w:ascii="Times New Roman" w:eastAsia="Times New Roman" w:hAnsi="Times New Roman" w:cs="Times New Roman"/>
          <w:i/>
          <w:iCs/>
          <w:sz w:val="24"/>
          <w:szCs w:val="24"/>
        </w:rPr>
        <w:t>Intercultural Education</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19</w:t>
      </w:r>
      <w:r w:rsidRPr="009B13F9">
        <w:rPr>
          <w:rFonts w:ascii="Times New Roman" w:eastAsia="Times New Roman" w:hAnsi="Times New Roman" w:cs="Times New Roman"/>
          <w:sz w:val="24"/>
          <w:szCs w:val="24"/>
        </w:rPr>
        <w:t>(1), 15–27.</w:t>
      </w:r>
      <w:hyperlink r:id="rId23">
        <w:r w:rsidR="003D5428" w:rsidRPr="009B13F9">
          <w:rPr>
            <w:rFonts w:ascii="Times New Roman" w:eastAsia="Times New Roman" w:hAnsi="Times New Roman" w:cs="Times New Roman"/>
            <w:sz w:val="24"/>
            <w:szCs w:val="24"/>
          </w:rPr>
          <w:t xml:space="preserve"> </w:t>
        </w:r>
      </w:hyperlink>
      <w:hyperlink r:id="rId24">
        <w:r w:rsidR="003D5428" w:rsidRPr="009B13F9">
          <w:rPr>
            <w:rFonts w:ascii="Times New Roman" w:eastAsia="Times New Roman" w:hAnsi="Times New Roman" w:cs="Times New Roman"/>
            <w:color w:val="1155CC"/>
            <w:sz w:val="24"/>
            <w:szCs w:val="24"/>
            <w:u w:val="single"/>
          </w:rPr>
          <w:t>https://doi.org/10.1080/14675980701852228</w:t>
        </w:r>
      </w:hyperlink>
    </w:p>
    <w:p w14:paraId="28876953"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Dwyer, S. C., &amp; Buckle, J. L. (2009). The space between: On being an insider-outsider researcher in qualitative research. </w:t>
      </w:r>
      <w:r w:rsidRPr="009B13F9">
        <w:rPr>
          <w:rFonts w:ascii="Times New Roman" w:eastAsia="Times New Roman" w:hAnsi="Times New Roman" w:cs="Times New Roman"/>
          <w:i/>
          <w:iCs/>
          <w:sz w:val="24"/>
          <w:szCs w:val="24"/>
        </w:rPr>
        <w:t>International Journal of Qualitative Methods</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8</w:t>
      </w:r>
      <w:r w:rsidRPr="009B13F9">
        <w:rPr>
          <w:rFonts w:ascii="Times New Roman" w:eastAsia="Times New Roman" w:hAnsi="Times New Roman" w:cs="Times New Roman"/>
          <w:sz w:val="24"/>
          <w:szCs w:val="24"/>
        </w:rPr>
        <w:t>(1), 54–63.</w:t>
      </w:r>
      <w:hyperlink r:id="rId25">
        <w:r w:rsidR="003D5428" w:rsidRPr="009B13F9">
          <w:rPr>
            <w:rFonts w:ascii="Times New Roman" w:eastAsia="Times New Roman" w:hAnsi="Times New Roman" w:cs="Times New Roman"/>
            <w:sz w:val="24"/>
            <w:szCs w:val="24"/>
          </w:rPr>
          <w:t xml:space="preserve"> </w:t>
        </w:r>
      </w:hyperlink>
      <w:hyperlink r:id="rId26">
        <w:r w:rsidR="003D5428" w:rsidRPr="009B13F9">
          <w:rPr>
            <w:rFonts w:ascii="Times New Roman" w:eastAsia="Times New Roman" w:hAnsi="Times New Roman" w:cs="Times New Roman"/>
            <w:color w:val="1155CC"/>
            <w:sz w:val="24"/>
            <w:szCs w:val="24"/>
            <w:u w:val="single"/>
          </w:rPr>
          <w:t>https://doi.org/10.1177/160940690900800105</w:t>
        </w:r>
      </w:hyperlink>
    </w:p>
    <w:p w14:paraId="6DE0592F"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lastRenderedPageBreak/>
        <w:t xml:space="preserve">Efklides, A. (2006). Metacognition and affect: What can metacognitive experiences tell us about the learning process? </w:t>
      </w:r>
      <w:r w:rsidRPr="009B13F9">
        <w:rPr>
          <w:rFonts w:ascii="Times New Roman" w:eastAsia="Times New Roman" w:hAnsi="Times New Roman" w:cs="Times New Roman"/>
          <w:i/>
          <w:iCs/>
          <w:sz w:val="24"/>
          <w:szCs w:val="24"/>
        </w:rPr>
        <w:t>Educational Research Review</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1</w:t>
      </w:r>
      <w:r w:rsidRPr="009B13F9">
        <w:rPr>
          <w:rFonts w:ascii="Times New Roman" w:eastAsia="Times New Roman" w:hAnsi="Times New Roman" w:cs="Times New Roman"/>
          <w:sz w:val="24"/>
          <w:szCs w:val="24"/>
        </w:rPr>
        <w:t>(1), 3–14.</w:t>
      </w:r>
      <w:hyperlink r:id="rId27">
        <w:r w:rsidR="003D5428" w:rsidRPr="009B13F9">
          <w:rPr>
            <w:rFonts w:ascii="Times New Roman" w:eastAsia="Times New Roman" w:hAnsi="Times New Roman" w:cs="Times New Roman"/>
            <w:sz w:val="24"/>
            <w:szCs w:val="24"/>
          </w:rPr>
          <w:t xml:space="preserve"> </w:t>
        </w:r>
      </w:hyperlink>
      <w:hyperlink r:id="rId28">
        <w:r w:rsidR="003D5428" w:rsidRPr="009B13F9">
          <w:rPr>
            <w:rFonts w:ascii="Times New Roman" w:eastAsia="Times New Roman" w:hAnsi="Times New Roman" w:cs="Times New Roman"/>
            <w:color w:val="1155CC"/>
            <w:sz w:val="24"/>
            <w:szCs w:val="24"/>
            <w:u w:val="single"/>
          </w:rPr>
          <w:t>https://doi.org/10.1016/j.edurev.2005.11.001</w:t>
        </w:r>
      </w:hyperlink>
    </w:p>
    <w:p w14:paraId="52CA5D94"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Flavell, J. H. (1979). Metacognition and cognitive monitoring: A new area of cognitive–developmental inquiry. </w:t>
      </w:r>
      <w:r w:rsidRPr="009B13F9">
        <w:rPr>
          <w:rFonts w:ascii="Times New Roman" w:eastAsia="Times New Roman" w:hAnsi="Times New Roman" w:cs="Times New Roman"/>
          <w:i/>
          <w:iCs/>
          <w:sz w:val="24"/>
          <w:szCs w:val="24"/>
        </w:rPr>
        <w:t>American Psychologist</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34</w:t>
      </w:r>
      <w:r w:rsidRPr="009B13F9">
        <w:rPr>
          <w:rFonts w:ascii="Times New Roman" w:eastAsia="Times New Roman" w:hAnsi="Times New Roman" w:cs="Times New Roman"/>
          <w:sz w:val="24"/>
          <w:szCs w:val="24"/>
        </w:rPr>
        <w:t>(10), 906–911.</w:t>
      </w:r>
      <w:hyperlink r:id="rId29">
        <w:r w:rsidR="003D5428" w:rsidRPr="009B13F9">
          <w:rPr>
            <w:rFonts w:ascii="Times New Roman" w:eastAsia="Times New Roman" w:hAnsi="Times New Roman" w:cs="Times New Roman"/>
            <w:sz w:val="24"/>
            <w:szCs w:val="24"/>
          </w:rPr>
          <w:t xml:space="preserve"> </w:t>
        </w:r>
      </w:hyperlink>
      <w:hyperlink r:id="rId30">
        <w:r w:rsidR="003D5428" w:rsidRPr="009B13F9">
          <w:rPr>
            <w:rFonts w:ascii="Times New Roman" w:eastAsia="Times New Roman" w:hAnsi="Times New Roman" w:cs="Times New Roman"/>
            <w:color w:val="1155CC"/>
            <w:sz w:val="24"/>
            <w:szCs w:val="24"/>
            <w:u w:val="single"/>
          </w:rPr>
          <w:t>https://doi.org/10.1037/0003-066X.34.10.906</w:t>
        </w:r>
      </w:hyperlink>
    </w:p>
    <w:p w14:paraId="3874DA32"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Fleming, S. M., Rhodes, S., &amp; Dolan, R. J. (2018). Cultural variation in metacognitive efficiency across nations. </w:t>
      </w:r>
      <w:r w:rsidRPr="009B13F9">
        <w:rPr>
          <w:rFonts w:ascii="Times New Roman" w:eastAsia="Times New Roman" w:hAnsi="Times New Roman" w:cs="Times New Roman"/>
          <w:i/>
          <w:iCs/>
          <w:sz w:val="24"/>
          <w:szCs w:val="24"/>
        </w:rPr>
        <w:t>Palgrave Communications</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4</w:t>
      </w:r>
      <w:r w:rsidRPr="009B13F9">
        <w:rPr>
          <w:rFonts w:ascii="Times New Roman" w:eastAsia="Times New Roman" w:hAnsi="Times New Roman" w:cs="Times New Roman"/>
          <w:sz w:val="24"/>
          <w:szCs w:val="24"/>
        </w:rPr>
        <w:t>, Article 199.</w:t>
      </w:r>
      <w:hyperlink r:id="rId31">
        <w:r w:rsidR="003D5428" w:rsidRPr="009B13F9">
          <w:rPr>
            <w:rFonts w:ascii="Times New Roman" w:eastAsia="Times New Roman" w:hAnsi="Times New Roman" w:cs="Times New Roman"/>
            <w:sz w:val="24"/>
            <w:szCs w:val="24"/>
          </w:rPr>
          <w:t xml:space="preserve"> </w:t>
        </w:r>
      </w:hyperlink>
      <w:hyperlink r:id="rId32">
        <w:r w:rsidR="003D5428" w:rsidRPr="009B13F9">
          <w:rPr>
            <w:rFonts w:ascii="Times New Roman" w:eastAsia="Times New Roman" w:hAnsi="Times New Roman" w:cs="Times New Roman"/>
            <w:color w:val="1155CC"/>
            <w:sz w:val="24"/>
            <w:szCs w:val="24"/>
            <w:u w:val="single"/>
          </w:rPr>
          <w:t>https://doi.org/10.1057/s41599-018-0200-y</w:t>
        </w:r>
      </w:hyperlink>
    </w:p>
    <w:p w14:paraId="75E38B6C"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García, M., Fernández, E., &amp; Rodríguez, P. (2021). </w:t>
      </w:r>
      <w:r w:rsidRPr="009B13F9">
        <w:rPr>
          <w:rFonts w:ascii="Times New Roman" w:eastAsia="Times New Roman" w:hAnsi="Times New Roman" w:cs="Times New Roman"/>
          <w:i/>
          <w:iCs/>
          <w:sz w:val="24"/>
          <w:szCs w:val="24"/>
        </w:rPr>
        <w:t>Metacognition and culture: A study of learning strategies</w:t>
      </w:r>
      <w:r w:rsidRPr="009B13F9">
        <w:rPr>
          <w:rFonts w:ascii="Times New Roman" w:eastAsia="Times New Roman" w:hAnsi="Times New Roman" w:cs="Times New Roman"/>
          <w:sz w:val="24"/>
          <w:szCs w:val="24"/>
        </w:rPr>
        <w:t>. University of Oviedo Repository.</w:t>
      </w:r>
      <w:hyperlink r:id="rId33">
        <w:r w:rsidR="003D5428" w:rsidRPr="009B13F9">
          <w:rPr>
            <w:rFonts w:ascii="Times New Roman" w:eastAsia="Times New Roman" w:hAnsi="Times New Roman" w:cs="Times New Roman"/>
            <w:sz w:val="24"/>
            <w:szCs w:val="24"/>
          </w:rPr>
          <w:t xml:space="preserve"> </w:t>
        </w:r>
      </w:hyperlink>
      <w:hyperlink r:id="rId34">
        <w:r w:rsidR="003D5428" w:rsidRPr="009B13F9">
          <w:rPr>
            <w:rFonts w:ascii="Times New Roman" w:eastAsia="Times New Roman" w:hAnsi="Times New Roman" w:cs="Times New Roman"/>
            <w:color w:val="1155CC"/>
            <w:sz w:val="24"/>
            <w:szCs w:val="24"/>
            <w:u w:val="single"/>
          </w:rPr>
          <w:t>https://digibuo.uniovi.es/dspace/bitstream/handle/10651/67623/4766.pdf</w:t>
        </w:r>
      </w:hyperlink>
    </w:p>
    <w:p w14:paraId="3568B794"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Gay, G. (2010). </w:t>
      </w:r>
      <w:r w:rsidRPr="009B13F9">
        <w:rPr>
          <w:rFonts w:ascii="Times New Roman" w:eastAsia="Times New Roman" w:hAnsi="Times New Roman" w:cs="Times New Roman"/>
          <w:i/>
          <w:iCs/>
          <w:sz w:val="24"/>
          <w:szCs w:val="24"/>
        </w:rPr>
        <w:t>Culturally responsive teaching: Theory, research, and practice</w:t>
      </w:r>
      <w:r w:rsidRPr="009B13F9">
        <w:rPr>
          <w:rFonts w:ascii="Times New Roman" w:eastAsia="Times New Roman" w:hAnsi="Times New Roman" w:cs="Times New Roman"/>
          <w:sz w:val="24"/>
          <w:szCs w:val="24"/>
        </w:rPr>
        <w:t xml:space="preserve"> (2nd ed.). Teachers College Press.</w:t>
      </w:r>
    </w:p>
    <w:p w14:paraId="0D5780A9"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Gay, G. (2018). </w:t>
      </w:r>
      <w:r w:rsidRPr="009B13F9">
        <w:rPr>
          <w:rFonts w:ascii="Times New Roman" w:eastAsia="Times New Roman" w:hAnsi="Times New Roman" w:cs="Times New Roman"/>
          <w:i/>
          <w:iCs/>
          <w:sz w:val="24"/>
          <w:szCs w:val="24"/>
        </w:rPr>
        <w:t>Culturally responsive teaching: Theory, research, and practice</w:t>
      </w:r>
      <w:r w:rsidRPr="009B13F9">
        <w:rPr>
          <w:rFonts w:ascii="Times New Roman" w:eastAsia="Times New Roman" w:hAnsi="Times New Roman" w:cs="Times New Roman"/>
          <w:sz w:val="24"/>
          <w:szCs w:val="24"/>
        </w:rPr>
        <w:t xml:space="preserve"> (3rd ed.). Teachers College Press.</w:t>
      </w:r>
    </w:p>
    <w:p w14:paraId="70EF8957"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Glass, C. R., Gómez, E., &amp; Urzua, A. (2015). Recreation, intercultural friendship, and international students' adaptation to college by region of origin. </w:t>
      </w:r>
      <w:r w:rsidRPr="009B13F9">
        <w:rPr>
          <w:rFonts w:ascii="Times New Roman" w:eastAsia="Times New Roman" w:hAnsi="Times New Roman" w:cs="Times New Roman"/>
          <w:i/>
          <w:iCs/>
          <w:sz w:val="24"/>
          <w:szCs w:val="24"/>
        </w:rPr>
        <w:t>International Journal of Intercultural Relations</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49</w:t>
      </w:r>
      <w:r w:rsidRPr="009B13F9">
        <w:rPr>
          <w:rFonts w:ascii="Times New Roman" w:eastAsia="Times New Roman" w:hAnsi="Times New Roman" w:cs="Times New Roman"/>
          <w:sz w:val="24"/>
          <w:szCs w:val="24"/>
        </w:rPr>
        <w:t>, 104–117.</w:t>
      </w:r>
      <w:hyperlink r:id="rId35">
        <w:r w:rsidR="003D5428" w:rsidRPr="009B13F9">
          <w:rPr>
            <w:rFonts w:ascii="Times New Roman" w:eastAsia="Times New Roman" w:hAnsi="Times New Roman" w:cs="Times New Roman"/>
            <w:sz w:val="24"/>
            <w:szCs w:val="24"/>
          </w:rPr>
          <w:t xml:space="preserve"> </w:t>
        </w:r>
      </w:hyperlink>
      <w:hyperlink r:id="rId36">
        <w:r w:rsidR="003D5428" w:rsidRPr="009B13F9">
          <w:rPr>
            <w:rFonts w:ascii="Times New Roman" w:eastAsia="Times New Roman" w:hAnsi="Times New Roman" w:cs="Times New Roman"/>
            <w:color w:val="1155CC"/>
            <w:sz w:val="24"/>
            <w:szCs w:val="24"/>
            <w:u w:val="single"/>
          </w:rPr>
          <w:t>https://doi.org/10.1016/j.ijintrel.2015.05.007</w:t>
        </w:r>
      </w:hyperlink>
    </w:p>
    <w:p w14:paraId="3074C66B"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lastRenderedPageBreak/>
        <w:t xml:space="preserve">Goos, M., Galbraith, P., &amp; Renshaw, P. (2002). Socially mediated metacognition: Creating collaborative zones of proximal development in small group problem solving. </w:t>
      </w:r>
      <w:r w:rsidRPr="009B13F9">
        <w:rPr>
          <w:rFonts w:ascii="Times New Roman" w:eastAsia="Times New Roman" w:hAnsi="Times New Roman" w:cs="Times New Roman"/>
          <w:i/>
          <w:iCs/>
          <w:sz w:val="24"/>
          <w:szCs w:val="24"/>
        </w:rPr>
        <w:t>Educational Studies in Mathematics</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49</w:t>
      </w:r>
      <w:r w:rsidRPr="009B13F9">
        <w:rPr>
          <w:rFonts w:ascii="Times New Roman" w:eastAsia="Times New Roman" w:hAnsi="Times New Roman" w:cs="Times New Roman"/>
          <w:sz w:val="24"/>
          <w:szCs w:val="24"/>
        </w:rPr>
        <w:t>(2), 193–223.</w:t>
      </w:r>
      <w:hyperlink r:id="rId37">
        <w:r w:rsidR="003D5428" w:rsidRPr="009B13F9">
          <w:rPr>
            <w:rFonts w:ascii="Times New Roman" w:eastAsia="Times New Roman" w:hAnsi="Times New Roman" w:cs="Times New Roman"/>
            <w:sz w:val="24"/>
            <w:szCs w:val="24"/>
          </w:rPr>
          <w:t xml:space="preserve"> </w:t>
        </w:r>
      </w:hyperlink>
      <w:hyperlink r:id="rId38">
        <w:r w:rsidR="003D5428" w:rsidRPr="009B13F9">
          <w:rPr>
            <w:rFonts w:ascii="Times New Roman" w:eastAsia="Times New Roman" w:hAnsi="Times New Roman" w:cs="Times New Roman"/>
            <w:color w:val="1155CC"/>
            <w:sz w:val="24"/>
            <w:szCs w:val="24"/>
            <w:u w:val="single"/>
          </w:rPr>
          <w:t>https://doi.org/10.1023/A:1016209010120</w:t>
        </w:r>
      </w:hyperlink>
    </w:p>
    <w:p w14:paraId="0AECBB6F"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Gurin, P., Dey, E. L., Hurtado, S., &amp; Gurin, G. (2002). Diversity and higher education: Theory and impact on educational outcomes. </w:t>
      </w:r>
      <w:r w:rsidRPr="009B13F9">
        <w:rPr>
          <w:rFonts w:ascii="Times New Roman" w:eastAsia="Times New Roman" w:hAnsi="Times New Roman" w:cs="Times New Roman"/>
          <w:i/>
          <w:iCs/>
          <w:sz w:val="24"/>
          <w:szCs w:val="24"/>
        </w:rPr>
        <w:t>Harvard Educational Review</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72</w:t>
      </w:r>
      <w:r w:rsidRPr="009B13F9">
        <w:rPr>
          <w:rFonts w:ascii="Times New Roman" w:eastAsia="Times New Roman" w:hAnsi="Times New Roman" w:cs="Times New Roman"/>
          <w:sz w:val="24"/>
          <w:szCs w:val="24"/>
        </w:rPr>
        <w:t>(3), 330–366.</w:t>
      </w:r>
      <w:hyperlink r:id="rId39">
        <w:r w:rsidR="003D5428" w:rsidRPr="009B13F9">
          <w:rPr>
            <w:rFonts w:ascii="Times New Roman" w:eastAsia="Times New Roman" w:hAnsi="Times New Roman" w:cs="Times New Roman"/>
            <w:sz w:val="24"/>
            <w:szCs w:val="24"/>
          </w:rPr>
          <w:t xml:space="preserve"> </w:t>
        </w:r>
      </w:hyperlink>
      <w:hyperlink r:id="rId40">
        <w:r w:rsidR="003D5428" w:rsidRPr="009B13F9">
          <w:rPr>
            <w:rFonts w:ascii="Times New Roman" w:eastAsia="Times New Roman" w:hAnsi="Times New Roman" w:cs="Times New Roman"/>
            <w:color w:val="1155CC"/>
            <w:sz w:val="24"/>
            <w:szCs w:val="24"/>
            <w:u w:val="single"/>
          </w:rPr>
          <w:t>https://doi.org/10.17763/haer.72.3.0115121527541414</w:t>
        </w:r>
      </w:hyperlink>
    </w:p>
    <w:p w14:paraId="36DF4C85"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Hen, M., Saar, E., &amp; Tzelgov, J. (2024). Cultural influences on metacognition: A global perspective. </w:t>
      </w:r>
      <w:r w:rsidRPr="009B13F9">
        <w:rPr>
          <w:rFonts w:ascii="Times New Roman" w:eastAsia="Times New Roman" w:hAnsi="Times New Roman" w:cs="Times New Roman"/>
          <w:i/>
          <w:iCs/>
          <w:sz w:val="24"/>
          <w:szCs w:val="24"/>
        </w:rPr>
        <w:t>Humanities and Social Sciences Communications</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11</w:t>
      </w:r>
      <w:r w:rsidRPr="009B13F9">
        <w:rPr>
          <w:rFonts w:ascii="Times New Roman" w:eastAsia="Times New Roman" w:hAnsi="Times New Roman" w:cs="Times New Roman"/>
          <w:sz w:val="24"/>
          <w:szCs w:val="24"/>
        </w:rPr>
        <w:t>(1), Article 40.</w:t>
      </w:r>
      <w:hyperlink r:id="rId41">
        <w:r w:rsidR="003D5428" w:rsidRPr="009B13F9">
          <w:rPr>
            <w:rFonts w:ascii="Times New Roman" w:eastAsia="Times New Roman" w:hAnsi="Times New Roman" w:cs="Times New Roman"/>
            <w:sz w:val="24"/>
            <w:szCs w:val="24"/>
          </w:rPr>
          <w:t xml:space="preserve"> </w:t>
        </w:r>
      </w:hyperlink>
      <w:hyperlink r:id="rId42">
        <w:r w:rsidR="003D5428" w:rsidRPr="009B13F9">
          <w:rPr>
            <w:rFonts w:ascii="Times New Roman" w:eastAsia="Times New Roman" w:hAnsi="Times New Roman" w:cs="Times New Roman"/>
            <w:color w:val="1155CC"/>
            <w:sz w:val="24"/>
            <w:szCs w:val="24"/>
            <w:u w:val="single"/>
          </w:rPr>
          <w:t>https://doi.org/10.1057/s41599-024-04013-1</w:t>
        </w:r>
      </w:hyperlink>
    </w:p>
    <w:p w14:paraId="2F8750D3"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Heng, T. T. (2019). Understanding the heterogeneity of international students' experiences: A case study of Chinese international students in U.S. universities. </w:t>
      </w:r>
      <w:r w:rsidRPr="009B13F9">
        <w:rPr>
          <w:rFonts w:ascii="Times New Roman" w:eastAsia="Times New Roman" w:hAnsi="Times New Roman" w:cs="Times New Roman"/>
          <w:i/>
          <w:iCs/>
          <w:sz w:val="24"/>
          <w:szCs w:val="24"/>
        </w:rPr>
        <w:t>Journal of International Students</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9</w:t>
      </w:r>
      <w:r w:rsidRPr="009B13F9">
        <w:rPr>
          <w:rFonts w:ascii="Times New Roman" w:eastAsia="Times New Roman" w:hAnsi="Times New Roman" w:cs="Times New Roman"/>
          <w:sz w:val="24"/>
          <w:szCs w:val="24"/>
        </w:rPr>
        <w:t>(1), 194–216.</w:t>
      </w:r>
      <w:hyperlink r:id="rId43">
        <w:r w:rsidR="003D5428" w:rsidRPr="009B13F9">
          <w:rPr>
            <w:rFonts w:ascii="Times New Roman" w:eastAsia="Times New Roman" w:hAnsi="Times New Roman" w:cs="Times New Roman"/>
            <w:sz w:val="24"/>
            <w:szCs w:val="24"/>
          </w:rPr>
          <w:t xml:space="preserve"> </w:t>
        </w:r>
      </w:hyperlink>
      <w:hyperlink r:id="rId44">
        <w:r w:rsidR="003D5428" w:rsidRPr="009B13F9">
          <w:rPr>
            <w:rFonts w:ascii="Times New Roman" w:eastAsia="Times New Roman" w:hAnsi="Times New Roman" w:cs="Times New Roman"/>
            <w:color w:val="1155CC"/>
            <w:sz w:val="24"/>
            <w:szCs w:val="24"/>
            <w:u w:val="single"/>
          </w:rPr>
          <w:t>https://doi.org/10.32674/jis.v9i1.267</w:t>
        </w:r>
      </w:hyperlink>
    </w:p>
    <w:p w14:paraId="75348591"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Hofer, B. K., &amp; Pintrich, P. R. (1997). The development of epistemological theories: Beliefs about knowledge and knowing and their relation to learning. </w:t>
      </w:r>
      <w:r w:rsidRPr="009B13F9">
        <w:rPr>
          <w:rFonts w:ascii="Times New Roman" w:eastAsia="Times New Roman" w:hAnsi="Times New Roman" w:cs="Times New Roman"/>
          <w:i/>
          <w:iCs/>
          <w:sz w:val="24"/>
          <w:szCs w:val="24"/>
        </w:rPr>
        <w:t>Review of Educational Research</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67</w:t>
      </w:r>
      <w:r w:rsidRPr="009B13F9">
        <w:rPr>
          <w:rFonts w:ascii="Times New Roman" w:eastAsia="Times New Roman" w:hAnsi="Times New Roman" w:cs="Times New Roman"/>
          <w:sz w:val="24"/>
          <w:szCs w:val="24"/>
        </w:rPr>
        <w:t>(1), 88–140.</w:t>
      </w:r>
      <w:hyperlink r:id="rId45">
        <w:r w:rsidR="003D5428" w:rsidRPr="009B13F9">
          <w:rPr>
            <w:rFonts w:ascii="Times New Roman" w:eastAsia="Times New Roman" w:hAnsi="Times New Roman" w:cs="Times New Roman"/>
            <w:sz w:val="24"/>
            <w:szCs w:val="24"/>
          </w:rPr>
          <w:t xml:space="preserve"> </w:t>
        </w:r>
      </w:hyperlink>
      <w:hyperlink r:id="rId46">
        <w:r w:rsidR="003D5428" w:rsidRPr="009B13F9">
          <w:rPr>
            <w:rFonts w:ascii="Times New Roman" w:eastAsia="Times New Roman" w:hAnsi="Times New Roman" w:cs="Times New Roman"/>
            <w:color w:val="1155CC"/>
            <w:sz w:val="24"/>
            <w:szCs w:val="24"/>
            <w:u w:val="single"/>
          </w:rPr>
          <w:t>https://doi.org/10.3102/00346543067001088</w:t>
        </w:r>
      </w:hyperlink>
    </w:p>
    <w:p w14:paraId="7AF5007C"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Hurme, T.-R., Järvelä, S., &amp; Järvenoja, H. (2009). Socially shared metacognition of pre-service primary teachers in a computer-supported mathematics course and their feelings of task difficulty. </w:t>
      </w:r>
      <w:r w:rsidRPr="009B13F9">
        <w:rPr>
          <w:rFonts w:ascii="Times New Roman" w:eastAsia="Times New Roman" w:hAnsi="Times New Roman" w:cs="Times New Roman"/>
          <w:i/>
          <w:iCs/>
          <w:sz w:val="24"/>
          <w:szCs w:val="24"/>
        </w:rPr>
        <w:t>Educational Research and Evaluation</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15</w:t>
      </w:r>
      <w:r w:rsidRPr="009B13F9">
        <w:rPr>
          <w:rFonts w:ascii="Times New Roman" w:eastAsia="Times New Roman" w:hAnsi="Times New Roman" w:cs="Times New Roman"/>
          <w:sz w:val="24"/>
          <w:szCs w:val="24"/>
        </w:rPr>
        <w:t>(5), 503–524.</w:t>
      </w:r>
      <w:hyperlink r:id="rId47">
        <w:r w:rsidR="003D5428" w:rsidRPr="009B13F9">
          <w:rPr>
            <w:rFonts w:ascii="Times New Roman" w:eastAsia="Times New Roman" w:hAnsi="Times New Roman" w:cs="Times New Roman"/>
            <w:sz w:val="24"/>
            <w:szCs w:val="24"/>
          </w:rPr>
          <w:t xml:space="preserve"> </w:t>
        </w:r>
      </w:hyperlink>
      <w:hyperlink r:id="rId48">
        <w:r w:rsidR="003D5428" w:rsidRPr="009B13F9">
          <w:rPr>
            <w:rFonts w:ascii="Times New Roman" w:eastAsia="Times New Roman" w:hAnsi="Times New Roman" w:cs="Times New Roman"/>
            <w:color w:val="1155CC"/>
            <w:sz w:val="24"/>
            <w:szCs w:val="24"/>
            <w:u w:val="single"/>
          </w:rPr>
          <w:t>https://doi.org/10.1080/13803610903444634</w:t>
        </w:r>
      </w:hyperlink>
    </w:p>
    <w:p w14:paraId="24209C25"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lastRenderedPageBreak/>
        <w:t xml:space="preserve">Hurtado, S. (2005). The next generation of diversity and intergroup relations research. </w:t>
      </w:r>
      <w:r w:rsidRPr="009B13F9">
        <w:rPr>
          <w:rFonts w:ascii="Times New Roman" w:eastAsia="Times New Roman" w:hAnsi="Times New Roman" w:cs="Times New Roman"/>
          <w:i/>
          <w:iCs/>
          <w:sz w:val="24"/>
          <w:szCs w:val="24"/>
        </w:rPr>
        <w:t>Journal of Social Issues</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61</w:t>
      </w:r>
      <w:r w:rsidRPr="009B13F9">
        <w:rPr>
          <w:rFonts w:ascii="Times New Roman" w:eastAsia="Times New Roman" w:hAnsi="Times New Roman" w:cs="Times New Roman"/>
          <w:sz w:val="24"/>
          <w:szCs w:val="24"/>
        </w:rPr>
        <w:t>(3), 595–610.</w:t>
      </w:r>
      <w:hyperlink r:id="rId49">
        <w:r w:rsidR="003D5428" w:rsidRPr="009B13F9">
          <w:rPr>
            <w:rFonts w:ascii="Times New Roman" w:eastAsia="Times New Roman" w:hAnsi="Times New Roman" w:cs="Times New Roman"/>
            <w:sz w:val="24"/>
            <w:szCs w:val="24"/>
          </w:rPr>
          <w:t xml:space="preserve"> </w:t>
        </w:r>
      </w:hyperlink>
      <w:hyperlink r:id="rId50">
        <w:r w:rsidR="003D5428" w:rsidRPr="009B13F9">
          <w:rPr>
            <w:rFonts w:ascii="Times New Roman" w:eastAsia="Times New Roman" w:hAnsi="Times New Roman" w:cs="Times New Roman"/>
            <w:color w:val="1155CC"/>
            <w:sz w:val="24"/>
            <w:szCs w:val="24"/>
            <w:u w:val="single"/>
          </w:rPr>
          <w:t>https://doi.org/10.1111/j.1540-4560.2005.00424.x</w:t>
        </w:r>
      </w:hyperlink>
    </w:p>
    <w:p w14:paraId="1212FE1A"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Hutchison, C. B. (2005). </w:t>
      </w:r>
      <w:r w:rsidRPr="009B13F9">
        <w:rPr>
          <w:rFonts w:ascii="Times New Roman" w:eastAsia="Times New Roman" w:hAnsi="Times New Roman" w:cs="Times New Roman"/>
          <w:i/>
          <w:iCs/>
          <w:sz w:val="24"/>
          <w:szCs w:val="24"/>
        </w:rPr>
        <w:t>Experiences of immigrant professors: Cross-cultural differences, challenges, and lessons for success</w:t>
      </w:r>
      <w:r w:rsidRPr="009B13F9">
        <w:rPr>
          <w:rFonts w:ascii="Times New Roman" w:eastAsia="Times New Roman" w:hAnsi="Times New Roman" w:cs="Times New Roman"/>
          <w:sz w:val="24"/>
          <w:szCs w:val="24"/>
        </w:rPr>
        <w:t>. Routledge.</w:t>
      </w:r>
    </w:p>
    <w:p w14:paraId="7DAAE9EF"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Joy, S., &amp; Kolb, D. A. (2009). Are culture differences in learning styles exaggerated? A meta-analysis of culture and learning styles. </w:t>
      </w:r>
      <w:r w:rsidRPr="009B13F9">
        <w:rPr>
          <w:rFonts w:ascii="Times New Roman" w:eastAsia="Times New Roman" w:hAnsi="Times New Roman" w:cs="Times New Roman"/>
          <w:i/>
          <w:iCs/>
          <w:sz w:val="24"/>
          <w:szCs w:val="24"/>
        </w:rPr>
        <w:t>Journal of Cross-Cultural Psychology</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40</w:t>
      </w:r>
      <w:r w:rsidRPr="009B13F9">
        <w:rPr>
          <w:rFonts w:ascii="Times New Roman" w:eastAsia="Times New Roman" w:hAnsi="Times New Roman" w:cs="Times New Roman"/>
          <w:sz w:val="24"/>
          <w:szCs w:val="24"/>
        </w:rPr>
        <w:t>(1), 69–85.</w:t>
      </w:r>
      <w:hyperlink r:id="rId51">
        <w:r w:rsidR="003D5428" w:rsidRPr="009B13F9">
          <w:rPr>
            <w:rFonts w:ascii="Times New Roman" w:eastAsia="Times New Roman" w:hAnsi="Times New Roman" w:cs="Times New Roman"/>
            <w:sz w:val="24"/>
            <w:szCs w:val="24"/>
          </w:rPr>
          <w:t xml:space="preserve"> </w:t>
        </w:r>
      </w:hyperlink>
      <w:hyperlink r:id="rId52">
        <w:r w:rsidR="003D5428" w:rsidRPr="009B13F9">
          <w:rPr>
            <w:rFonts w:ascii="Times New Roman" w:eastAsia="Times New Roman" w:hAnsi="Times New Roman" w:cs="Times New Roman"/>
            <w:color w:val="1155CC"/>
            <w:sz w:val="24"/>
            <w:szCs w:val="24"/>
            <w:u w:val="single"/>
          </w:rPr>
          <w:t>https://doi.org/10.1177/0022022108326260</w:t>
        </w:r>
      </w:hyperlink>
    </w:p>
    <w:p w14:paraId="20DD6266"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Kim, Y. K., &amp; Lee, M. (2021). International students’ adaptation to higher education environments: A review of recent literature. </w:t>
      </w:r>
      <w:r w:rsidRPr="009B13F9">
        <w:rPr>
          <w:rFonts w:ascii="Times New Roman" w:eastAsia="Times New Roman" w:hAnsi="Times New Roman" w:cs="Times New Roman"/>
          <w:i/>
          <w:iCs/>
          <w:sz w:val="24"/>
          <w:szCs w:val="24"/>
        </w:rPr>
        <w:t>Journal of International Students</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11</w:t>
      </w:r>
      <w:r w:rsidRPr="009B13F9">
        <w:rPr>
          <w:rFonts w:ascii="Times New Roman" w:eastAsia="Times New Roman" w:hAnsi="Times New Roman" w:cs="Times New Roman"/>
          <w:sz w:val="24"/>
          <w:szCs w:val="24"/>
        </w:rPr>
        <w:t>(3), 567–586.</w:t>
      </w:r>
      <w:hyperlink r:id="rId53">
        <w:r w:rsidR="003D5428" w:rsidRPr="009B13F9">
          <w:rPr>
            <w:rFonts w:ascii="Times New Roman" w:eastAsia="Times New Roman" w:hAnsi="Times New Roman" w:cs="Times New Roman"/>
            <w:sz w:val="24"/>
            <w:szCs w:val="24"/>
          </w:rPr>
          <w:t xml:space="preserve"> </w:t>
        </w:r>
      </w:hyperlink>
      <w:hyperlink r:id="rId54">
        <w:r w:rsidR="003D5428" w:rsidRPr="009B13F9">
          <w:rPr>
            <w:rFonts w:ascii="Times New Roman" w:eastAsia="Times New Roman" w:hAnsi="Times New Roman" w:cs="Times New Roman"/>
            <w:color w:val="1155CC"/>
            <w:sz w:val="24"/>
            <w:szCs w:val="24"/>
            <w:u w:val="single"/>
          </w:rPr>
          <w:t>https://doi.org/10.32674/jis.v11i3.2435</w:t>
        </w:r>
      </w:hyperlink>
    </w:p>
    <w:p w14:paraId="68149E2C"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Krueger, R. A., &amp; Casey, M. A. (2015). </w:t>
      </w:r>
      <w:r w:rsidRPr="009B13F9">
        <w:rPr>
          <w:rFonts w:ascii="Times New Roman" w:eastAsia="Times New Roman" w:hAnsi="Times New Roman" w:cs="Times New Roman"/>
          <w:i/>
          <w:iCs/>
          <w:sz w:val="24"/>
          <w:szCs w:val="24"/>
        </w:rPr>
        <w:t>Focus groups: A practical guide for applied research</w:t>
      </w:r>
      <w:r w:rsidRPr="009B13F9">
        <w:rPr>
          <w:rFonts w:ascii="Times New Roman" w:eastAsia="Times New Roman" w:hAnsi="Times New Roman" w:cs="Times New Roman"/>
          <w:sz w:val="24"/>
          <w:szCs w:val="24"/>
        </w:rPr>
        <w:t xml:space="preserve"> (5th ed.). Sage.</w:t>
      </w:r>
    </w:p>
    <w:p w14:paraId="7A04E3E2"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Kvale, S., &amp; Brinkmann, S. (2015). </w:t>
      </w:r>
      <w:r w:rsidRPr="009B13F9">
        <w:rPr>
          <w:rFonts w:ascii="Times New Roman" w:eastAsia="Times New Roman" w:hAnsi="Times New Roman" w:cs="Times New Roman"/>
          <w:i/>
          <w:iCs/>
          <w:sz w:val="24"/>
          <w:szCs w:val="24"/>
        </w:rPr>
        <w:t>InterViews: Learning the craft of qualitative research interviewing</w:t>
      </w:r>
      <w:r w:rsidRPr="009B13F9">
        <w:rPr>
          <w:rFonts w:ascii="Times New Roman" w:eastAsia="Times New Roman" w:hAnsi="Times New Roman" w:cs="Times New Roman"/>
          <w:sz w:val="24"/>
          <w:szCs w:val="24"/>
        </w:rPr>
        <w:t xml:space="preserve"> (3rd ed.). Sage.</w:t>
      </w:r>
    </w:p>
    <w:p w14:paraId="28A75681"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Ladson-Billings, G. (1995). Toward a theory of culturally relevant pedagogy. </w:t>
      </w:r>
      <w:r w:rsidRPr="009B13F9">
        <w:rPr>
          <w:rFonts w:ascii="Times New Roman" w:eastAsia="Times New Roman" w:hAnsi="Times New Roman" w:cs="Times New Roman"/>
          <w:i/>
          <w:iCs/>
          <w:sz w:val="24"/>
          <w:szCs w:val="24"/>
        </w:rPr>
        <w:t>American Educational Research Journal</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32</w:t>
      </w:r>
      <w:r w:rsidRPr="009B13F9">
        <w:rPr>
          <w:rFonts w:ascii="Times New Roman" w:eastAsia="Times New Roman" w:hAnsi="Times New Roman" w:cs="Times New Roman"/>
          <w:sz w:val="24"/>
          <w:szCs w:val="24"/>
        </w:rPr>
        <w:t>(3), 465–491.</w:t>
      </w:r>
      <w:hyperlink r:id="rId55">
        <w:r w:rsidR="003D5428" w:rsidRPr="009B13F9">
          <w:rPr>
            <w:rFonts w:ascii="Times New Roman" w:eastAsia="Times New Roman" w:hAnsi="Times New Roman" w:cs="Times New Roman"/>
            <w:sz w:val="24"/>
            <w:szCs w:val="24"/>
          </w:rPr>
          <w:t xml:space="preserve"> </w:t>
        </w:r>
      </w:hyperlink>
      <w:hyperlink r:id="rId56">
        <w:r w:rsidR="003D5428" w:rsidRPr="009B13F9">
          <w:rPr>
            <w:rFonts w:ascii="Times New Roman" w:eastAsia="Times New Roman" w:hAnsi="Times New Roman" w:cs="Times New Roman"/>
            <w:color w:val="1155CC"/>
            <w:sz w:val="24"/>
            <w:szCs w:val="24"/>
            <w:u w:val="single"/>
          </w:rPr>
          <w:t>https://doi.org/10.3102/00028312032003465</w:t>
        </w:r>
      </w:hyperlink>
    </w:p>
    <w:p w14:paraId="36AE6104"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Lincoln, Y. S., &amp; Guba, E. G. (1985). </w:t>
      </w:r>
      <w:r w:rsidRPr="009B13F9">
        <w:rPr>
          <w:rFonts w:ascii="Times New Roman" w:eastAsia="Times New Roman" w:hAnsi="Times New Roman" w:cs="Times New Roman"/>
          <w:i/>
          <w:iCs/>
          <w:sz w:val="24"/>
          <w:szCs w:val="24"/>
        </w:rPr>
        <w:t>Naturalistic inquiry</w:t>
      </w:r>
      <w:r w:rsidRPr="009B13F9">
        <w:rPr>
          <w:rFonts w:ascii="Times New Roman" w:eastAsia="Times New Roman" w:hAnsi="Times New Roman" w:cs="Times New Roman"/>
          <w:sz w:val="24"/>
          <w:szCs w:val="24"/>
        </w:rPr>
        <w:t>. Sage.</w:t>
      </w:r>
    </w:p>
    <w:p w14:paraId="5ACC9B3C"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lastRenderedPageBreak/>
        <w:t xml:space="preserve">Lincoln, Y. S., Lynham, S. A., &amp; Guba, E. G. (2018). Paradigmatic controversies, contradictions, and emerging confluences, revisited. In N. K. Denzin &amp; Y. S. Lincoln (Eds.), </w:t>
      </w:r>
      <w:r w:rsidRPr="009B13F9">
        <w:rPr>
          <w:rFonts w:ascii="Times New Roman" w:eastAsia="Times New Roman" w:hAnsi="Times New Roman" w:cs="Times New Roman"/>
          <w:i/>
          <w:iCs/>
          <w:sz w:val="24"/>
          <w:szCs w:val="24"/>
        </w:rPr>
        <w:t>The Sage handbook of qualitative research</w:t>
      </w:r>
      <w:r w:rsidRPr="009B13F9">
        <w:rPr>
          <w:rFonts w:ascii="Times New Roman" w:eastAsia="Times New Roman" w:hAnsi="Times New Roman" w:cs="Times New Roman"/>
          <w:sz w:val="24"/>
          <w:szCs w:val="24"/>
        </w:rPr>
        <w:t xml:space="preserve"> (5th ed., pp. 108–150). Sage.</w:t>
      </w:r>
    </w:p>
    <w:p w14:paraId="766C4341"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Merriam, S. B., Johnson-Bailey, J., Lee, M. Y., Kee, Y., Ntseane, G., &amp; Muwdenda, J. (2001). Power and positionality: Negotiating insider/outsider status in multicultural/cross-cultural research. </w:t>
      </w:r>
      <w:r w:rsidRPr="009B13F9">
        <w:rPr>
          <w:rFonts w:ascii="Times New Roman" w:eastAsia="Times New Roman" w:hAnsi="Times New Roman" w:cs="Times New Roman"/>
          <w:i/>
          <w:iCs/>
          <w:sz w:val="24"/>
          <w:szCs w:val="24"/>
        </w:rPr>
        <w:t>International Journal of Intercultural Relations</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25</w:t>
      </w:r>
      <w:r w:rsidRPr="009B13F9">
        <w:rPr>
          <w:rFonts w:ascii="Times New Roman" w:eastAsia="Times New Roman" w:hAnsi="Times New Roman" w:cs="Times New Roman"/>
          <w:sz w:val="24"/>
          <w:szCs w:val="24"/>
        </w:rPr>
        <w:t>(4), 405–416.</w:t>
      </w:r>
      <w:hyperlink r:id="rId57">
        <w:r w:rsidR="003D5428" w:rsidRPr="009B13F9">
          <w:rPr>
            <w:rFonts w:ascii="Times New Roman" w:eastAsia="Times New Roman" w:hAnsi="Times New Roman" w:cs="Times New Roman"/>
            <w:sz w:val="24"/>
            <w:szCs w:val="24"/>
          </w:rPr>
          <w:t xml:space="preserve"> </w:t>
        </w:r>
      </w:hyperlink>
      <w:hyperlink r:id="rId58">
        <w:r w:rsidR="003D5428" w:rsidRPr="009B13F9">
          <w:rPr>
            <w:rFonts w:ascii="Times New Roman" w:eastAsia="Times New Roman" w:hAnsi="Times New Roman" w:cs="Times New Roman"/>
            <w:color w:val="1155CC"/>
            <w:sz w:val="24"/>
            <w:szCs w:val="24"/>
            <w:u w:val="single"/>
          </w:rPr>
          <w:t>https://doi.org/10.1016/S0147-1767(01)00013-0</w:t>
        </w:r>
      </w:hyperlink>
    </w:p>
    <w:p w14:paraId="325D1B7C"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Merriam, S. B., &amp; Tisdell, E. J. (2016). </w:t>
      </w:r>
      <w:r w:rsidRPr="009B13F9">
        <w:rPr>
          <w:rFonts w:ascii="Times New Roman" w:eastAsia="Times New Roman" w:hAnsi="Times New Roman" w:cs="Times New Roman"/>
          <w:i/>
          <w:iCs/>
          <w:sz w:val="24"/>
          <w:szCs w:val="24"/>
        </w:rPr>
        <w:t>Qualitative research: A guide to design and implementation</w:t>
      </w:r>
      <w:r w:rsidRPr="009B13F9">
        <w:rPr>
          <w:rFonts w:ascii="Times New Roman" w:eastAsia="Times New Roman" w:hAnsi="Times New Roman" w:cs="Times New Roman"/>
          <w:sz w:val="24"/>
          <w:szCs w:val="24"/>
        </w:rPr>
        <w:t xml:space="preserve"> (4th ed.). Jossey-Bass.</w:t>
      </w:r>
    </w:p>
    <w:p w14:paraId="38F43C17"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Morgan, D. L. (1997). </w:t>
      </w:r>
      <w:r w:rsidRPr="009B13F9">
        <w:rPr>
          <w:rFonts w:ascii="Times New Roman" w:eastAsia="Times New Roman" w:hAnsi="Times New Roman" w:cs="Times New Roman"/>
          <w:i/>
          <w:iCs/>
          <w:sz w:val="24"/>
          <w:szCs w:val="24"/>
        </w:rPr>
        <w:t>Focus groups as qualitative research</w:t>
      </w:r>
      <w:r w:rsidRPr="009B13F9">
        <w:rPr>
          <w:rFonts w:ascii="Times New Roman" w:eastAsia="Times New Roman" w:hAnsi="Times New Roman" w:cs="Times New Roman"/>
          <w:sz w:val="24"/>
          <w:szCs w:val="24"/>
        </w:rPr>
        <w:t xml:space="preserve"> (2nd ed.). Sage.</w:t>
      </w:r>
    </w:p>
    <w:p w14:paraId="0CB2023E"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Ohtani, K., &amp; Hisasaka, T. (2018). Beyond intelligence: A meta-analytic review of the relationship among metacognition, intelligence, and academic performance. </w:t>
      </w:r>
      <w:r w:rsidRPr="009B13F9">
        <w:rPr>
          <w:rFonts w:ascii="Times New Roman" w:eastAsia="Times New Roman" w:hAnsi="Times New Roman" w:cs="Times New Roman"/>
          <w:i/>
          <w:iCs/>
          <w:sz w:val="24"/>
          <w:szCs w:val="24"/>
        </w:rPr>
        <w:t>Educational Research Review</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23</w:t>
      </w:r>
      <w:r w:rsidRPr="009B13F9">
        <w:rPr>
          <w:rFonts w:ascii="Times New Roman" w:eastAsia="Times New Roman" w:hAnsi="Times New Roman" w:cs="Times New Roman"/>
          <w:sz w:val="24"/>
          <w:szCs w:val="24"/>
        </w:rPr>
        <w:t>, 179–196.</w:t>
      </w:r>
      <w:hyperlink r:id="rId59">
        <w:r w:rsidR="003D5428" w:rsidRPr="009B13F9">
          <w:rPr>
            <w:rFonts w:ascii="Times New Roman" w:eastAsia="Times New Roman" w:hAnsi="Times New Roman" w:cs="Times New Roman"/>
            <w:sz w:val="24"/>
            <w:szCs w:val="24"/>
          </w:rPr>
          <w:t xml:space="preserve"> </w:t>
        </w:r>
      </w:hyperlink>
      <w:hyperlink r:id="rId60">
        <w:r w:rsidR="003D5428" w:rsidRPr="009B13F9">
          <w:rPr>
            <w:rFonts w:ascii="Times New Roman" w:eastAsia="Times New Roman" w:hAnsi="Times New Roman" w:cs="Times New Roman"/>
            <w:color w:val="1155CC"/>
            <w:sz w:val="24"/>
            <w:szCs w:val="24"/>
            <w:u w:val="single"/>
          </w:rPr>
          <w:t>https://doi.org/10.1016/j.edurev.2018.01.002</w:t>
        </w:r>
      </w:hyperlink>
    </w:p>
    <w:p w14:paraId="240CCDBB"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Paris, D. (2012). Culturally sustaining pedagogy: A needed change in stance, terminology, and practice. </w:t>
      </w:r>
      <w:r w:rsidRPr="009B13F9">
        <w:rPr>
          <w:rFonts w:ascii="Times New Roman" w:eastAsia="Times New Roman" w:hAnsi="Times New Roman" w:cs="Times New Roman"/>
          <w:i/>
          <w:iCs/>
          <w:sz w:val="24"/>
          <w:szCs w:val="24"/>
        </w:rPr>
        <w:t>Educational Researcher</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41</w:t>
      </w:r>
      <w:r w:rsidRPr="009B13F9">
        <w:rPr>
          <w:rFonts w:ascii="Times New Roman" w:eastAsia="Times New Roman" w:hAnsi="Times New Roman" w:cs="Times New Roman"/>
          <w:sz w:val="24"/>
          <w:szCs w:val="24"/>
        </w:rPr>
        <w:t>(3), 93–97.</w:t>
      </w:r>
      <w:hyperlink r:id="rId61">
        <w:r w:rsidR="003D5428" w:rsidRPr="009B13F9">
          <w:rPr>
            <w:rFonts w:ascii="Times New Roman" w:eastAsia="Times New Roman" w:hAnsi="Times New Roman" w:cs="Times New Roman"/>
            <w:sz w:val="24"/>
            <w:szCs w:val="24"/>
          </w:rPr>
          <w:t xml:space="preserve"> </w:t>
        </w:r>
      </w:hyperlink>
      <w:hyperlink r:id="rId62">
        <w:r w:rsidR="003D5428" w:rsidRPr="009B13F9">
          <w:rPr>
            <w:rFonts w:ascii="Times New Roman" w:eastAsia="Times New Roman" w:hAnsi="Times New Roman" w:cs="Times New Roman"/>
            <w:color w:val="1155CC"/>
            <w:sz w:val="24"/>
            <w:szCs w:val="24"/>
            <w:u w:val="single"/>
          </w:rPr>
          <w:t>https://doi.org/10.3102/0013189X12441244</w:t>
        </w:r>
      </w:hyperlink>
    </w:p>
    <w:p w14:paraId="1A3D442C"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Paris, D., &amp; Alim, H. S. (2017). </w:t>
      </w:r>
      <w:r w:rsidRPr="009B13F9">
        <w:rPr>
          <w:rFonts w:ascii="Times New Roman" w:eastAsia="Times New Roman" w:hAnsi="Times New Roman" w:cs="Times New Roman"/>
          <w:i/>
          <w:iCs/>
          <w:sz w:val="24"/>
          <w:szCs w:val="24"/>
        </w:rPr>
        <w:t>Culturally sustaining pedagogies: Teaching and learning for justice in a changing world</w:t>
      </w:r>
      <w:r w:rsidRPr="009B13F9">
        <w:rPr>
          <w:rFonts w:ascii="Times New Roman" w:eastAsia="Times New Roman" w:hAnsi="Times New Roman" w:cs="Times New Roman"/>
          <w:sz w:val="24"/>
          <w:szCs w:val="24"/>
        </w:rPr>
        <w:t>. Teachers College Press.</w:t>
      </w:r>
    </w:p>
    <w:p w14:paraId="3B6CF92B"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Patton, M. Q. (2015). </w:t>
      </w:r>
      <w:r w:rsidRPr="009B13F9">
        <w:rPr>
          <w:rFonts w:ascii="Times New Roman" w:eastAsia="Times New Roman" w:hAnsi="Times New Roman" w:cs="Times New Roman"/>
          <w:i/>
          <w:iCs/>
          <w:sz w:val="24"/>
          <w:szCs w:val="24"/>
        </w:rPr>
        <w:t>Qualitative research &amp; evaluation methods</w:t>
      </w:r>
      <w:r w:rsidRPr="009B13F9">
        <w:rPr>
          <w:rFonts w:ascii="Times New Roman" w:eastAsia="Times New Roman" w:hAnsi="Times New Roman" w:cs="Times New Roman"/>
          <w:sz w:val="24"/>
          <w:szCs w:val="24"/>
        </w:rPr>
        <w:t xml:space="preserve"> (4th ed.). Sage.</w:t>
      </w:r>
    </w:p>
    <w:p w14:paraId="5E9FAE67"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lastRenderedPageBreak/>
        <w:t xml:space="preserve">Perry, W. G. (1970). </w:t>
      </w:r>
      <w:r w:rsidRPr="009B13F9">
        <w:rPr>
          <w:rFonts w:ascii="Times New Roman" w:eastAsia="Times New Roman" w:hAnsi="Times New Roman" w:cs="Times New Roman"/>
          <w:i/>
          <w:iCs/>
          <w:sz w:val="24"/>
          <w:szCs w:val="24"/>
        </w:rPr>
        <w:t>Forms of intellectual and ethical development in the college years: A scheme</w:t>
      </w:r>
      <w:r w:rsidRPr="009B13F9">
        <w:rPr>
          <w:rFonts w:ascii="Times New Roman" w:eastAsia="Times New Roman" w:hAnsi="Times New Roman" w:cs="Times New Roman"/>
          <w:sz w:val="24"/>
          <w:szCs w:val="24"/>
        </w:rPr>
        <w:t>. Holt, Rinehart and Winston.</w:t>
      </w:r>
    </w:p>
    <w:p w14:paraId="2EF27FB5"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Perry, W. G. (1999). </w:t>
      </w:r>
      <w:r w:rsidRPr="009B13F9">
        <w:rPr>
          <w:rFonts w:ascii="Times New Roman" w:eastAsia="Times New Roman" w:hAnsi="Times New Roman" w:cs="Times New Roman"/>
          <w:i/>
          <w:iCs/>
          <w:sz w:val="24"/>
          <w:szCs w:val="24"/>
        </w:rPr>
        <w:t>Forms of intellectual and ethical development in the college years: A scheme</w:t>
      </w:r>
      <w:r w:rsidRPr="009B13F9">
        <w:rPr>
          <w:rFonts w:ascii="Times New Roman" w:eastAsia="Times New Roman" w:hAnsi="Times New Roman" w:cs="Times New Roman"/>
          <w:sz w:val="24"/>
          <w:szCs w:val="24"/>
        </w:rPr>
        <w:t>. Jossey-Bass.</w:t>
      </w:r>
    </w:p>
    <w:p w14:paraId="281A17E0"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Purdie, N., Hattie, J., &amp; Douglas, G. (1996). Student conceptions of learning and their use of learning strategies: A developmental, cross-cultural study. </w:t>
      </w:r>
      <w:r w:rsidRPr="009B13F9">
        <w:rPr>
          <w:rFonts w:ascii="Times New Roman" w:eastAsia="Times New Roman" w:hAnsi="Times New Roman" w:cs="Times New Roman"/>
          <w:i/>
          <w:iCs/>
          <w:sz w:val="24"/>
          <w:szCs w:val="24"/>
        </w:rPr>
        <w:t>Journal of Educational Psychology</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88</w:t>
      </w:r>
      <w:r w:rsidRPr="009B13F9">
        <w:rPr>
          <w:rFonts w:ascii="Times New Roman" w:eastAsia="Times New Roman" w:hAnsi="Times New Roman" w:cs="Times New Roman"/>
          <w:sz w:val="24"/>
          <w:szCs w:val="24"/>
        </w:rPr>
        <w:t>(1), 87–100.</w:t>
      </w:r>
      <w:hyperlink r:id="rId63">
        <w:r w:rsidR="003D5428" w:rsidRPr="009B13F9">
          <w:rPr>
            <w:rFonts w:ascii="Times New Roman" w:eastAsia="Times New Roman" w:hAnsi="Times New Roman" w:cs="Times New Roman"/>
            <w:sz w:val="24"/>
            <w:szCs w:val="24"/>
          </w:rPr>
          <w:t xml:space="preserve"> </w:t>
        </w:r>
      </w:hyperlink>
      <w:hyperlink r:id="rId64">
        <w:r w:rsidR="003D5428" w:rsidRPr="009B13F9">
          <w:rPr>
            <w:rFonts w:ascii="Times New Roman" w:eastAsia="Times New Roman" w:hAnsi="Times New Roman" w:cs="Times New Roman"/>
            <w:color w:val="1155CC"/>
            <w:sz w:val="24"/>
            <w:szCs w:val="24"/>
            <w:u w:val="single"/>
          </w:rPr>
          <w:t>https://doi.org/10.1037/0022-0663.88.1.87</w:t>
        </w:r>
      </w:hyperlink>
    </w:p>
    <w:p w14:paraId="0C12AD0B"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Ramburuth, P., &amp; McCormick, J. (2001). Learning diversity in higher education: A comparative study of Asian international and Australian students. </w:t>
      </w:r>
      <w:r w:rsidRPr="009B13F9">
        <w:rPr>
          <w:rFonts w:ascii="Times New Roman" w:eastAsia="Times New Roman" w:hAnsi="Times New Roman" w:cs="Times New Roman"/>
          <w:i/>
          <w:iCs/>
          <w:sz w:val="24"/>
          <w:szCs w:val="24"/>
        </w:rPr>
        <w:t>Higher Education</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42</w:t>
      </w:r>
      <w:r w:rsidRPr="009B13F9">
        <w:rPr>
          <w:rFonts w:ascii="Times New Roman" w:eastAsia="Times New Roman" w:hAnsi="Times New Roman" w:cs="Times New Roman"/>
          <w:sz w:val="24"/>
          <w:szCs w:val="24"/>
        </w:rPr>
        <w:t>(3), 333–353.</w:t>
      </w:r>
      <w:hyperlink r:id="rId65">
        <w:r w:rsidR="003D5428" w:rsidRPr="009B13F9">
          <w:rPr>
            <w:rFonts w:ascii="Times New Roman" w:eastAsia="Times New Roman" w:hAnsi="Times New Roman" w:cs="Times New Roman"/>
            <w:sz w:val="24"/>
            <w:szCs w:val="24"/>
          </w:rPr>
          <w:t xml:space="preserve"> </w:t>
        </w:r>
      </w:hyperlink>
      <w:hyperlink r:id="rId66">
        <w:r w:rsidR="003D5428" w:rsidRPr="009B13F9">
          <w:rPr>
            <w:rFonts w:ascii="Times New Roman" w:eastAsia="Times New Roman" w:hAnsi="Times New Roman" w:cs="Times New Roman"/>
            <w:color w:val="1155CC"/>
            <w:sz w:val="24"/>
            <w:szCs w:val="24"/>
            <w:u w:val="single"/>
          </w:rPr>
          <w:t>https://doi.org/10.1023/A:1017982716483</w:t>
        </w:r>
      </w:hyperlink>
    </w:p>
    <w:p w14:paraId="4385291B"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Schraw, G., &amp; Dennison, R. S. (1994). Assessing metacognitive awareness. </w:t>
      </w:r>
      <w:r w:rsidRPr="009B13F9">
        <w:rPr>
          <w:rFonts w:ascii="Times New Roman" w:eastAsia="Times New Roman" w:hAnsi="Times New Roman" w:cs="Times New Roman"/>
          <w:i/>
          <w:iCs/>
          <w:sz w:val="24"/>
          <w:szCs w:val="24"/>
        </w:rPr>
        <w:t>Contemporary Educational Psychology</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19</w:t>
      </w:r>
      <w:r w:rsidRPr="009B13F9">
        <w:rPr>
          <w:rFonts w:ascii="Times New Roman" w:eastAsia="Times New Roman" w:hAnsi="Times New Roman" w:cs="Times New Roman"/>
          <w:sz w:val="24"/>
          <w:szCs w:val="24"/>
        </w:rPr>
        <w:t>(4), 460–475.</w:t>
      </w:r>
      <w:hyperlink r:id="rId67">
        <w:r w:rsidR="003D5428" w:rsidRPr="009B13F9">
          <w:rPr>
            <w:rFonts w:ascii="Times New Roman" w:eastAsia="Times New Roman" w:hAnsi="Times New Roman" w:cs="Times New Roman"/>
            <w:sz w:val="24"/>
            <w:szCs w:val="24"/>
          </w:rPr>
          <w:t xml:space="preserve"> </w:t>
        </w:r>
      </w:hyperlink>
      <w:hyperlink r:id="rId68">
        <w:r w:rsidR="003D5428" w:rsidRPr="009B13F9">
          <w:rPr>
            <w:rFonts w:ascii="Times New Roman" w:eastAsia="Times New Roman" w:hAnsi="Times New Roman" w:cs="Times New Roman"/>
            <w:color w:val="1155CC"/>
            <w:sz w:val="24"/>
            <w:szCs w:val="24"/>
            <w:u w:val="single"/>
          </w:rPr>
          <w:t>https://doi.org/10.1006/ceps.1994.1033</w:t>
        </w:r>
      </w:hyperlink>
    </w:p>
    <w:p w14:paraId="6686CDCB"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Schraw, G., &amp; Moshman, D. (1995). Metacognitive theories. </w:t>
      </w:r>
      <w:r w:rsidRPr="009B13F9">
        <w:rPr>
          <w:rFonts w:ascii="Times New Roman" w:eastAsia="Times New Roman" w:hAnsi="Times New Roman" w:cs="Times New Roman"/>
          <w:i/>
          <w:iCs/>
          <w:sz w:val="24"/>
          <w:szCs w:val="24"/>
        </w:rPr>
        <w:t>Educational Psychology Review</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7</w:t>
      </w:r>
      <w:r w:rsidRPr="009B13F9">
        <w:rPr>
          <w:rFonts w:ascii="Times New Roman" w:eastAsia="Times New Roman" w:hAnsi="Times New Roman" w:cs="Times New Roman"/>
          <w:sz w:val="24"/>
          <w:szCs w:val="24"/>
        </w:rPr>
        <w:t>(4), 351–371.</w:t>
      </w:r>
      <w:hyperlink r:id="rId69">
        <w:r w:rsidR="003D5428" w:rsidRPr="009B13F9">
          <w:rPr>
            <w:rFonts w:ascii="Times New Roman" w:eastAsia="Times New Roman" w:hAnsi="Times New Roman" w:cs="Times New Roman"/>
            <w:sz w:val="24"/>
            <w:szCs w:val="24"/>
          </w:rPr>
          <w:t xml:space="preserve"> </w:t>
        </w:r>
      </w:hyperlink>
      <w:hyperlink r:id="rId70">
        <w:r w:rsidR="003D5428" w:rsidRPr="009B13F9">
          <w:rPr>
            <w:rFonts w:ascii="Times New Roman" w:eastAsia="Times New Roman" w:hAnsi="Times New Roman" w:cs="Times New Roman"/>
            <w:color w:val="1155CC"/>
            <w:sz w:val="24"/>
            <w:szCs w:val="24"/>
            <w:u w:val="single"/>
          </w:rPr>
          <w:t>https://doi.org/10.1007/BF02212307</w:t>
        </w:r>
      </w:hyperlink>
    </w:p>
    <w:p w14:paraId="5C91CE8B"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Schwandt, T. A. (2014). </w:t>
      </w:r>
      <w:r w:rsidRPr="009B13F9">
        <w:rPr>
          <w:rFonts w:ascii="Times New Roman" w:eastAsia="Times New Roman" w:hAnsi="Times New Roman" w:cs="Times New Roman"/>
          <w:i/>
          <w:iCs/>
          <w:sz w:val="24"/>
          <w:szCs w:val="24"/>
        </w:rPr>
        <w:t>The Sage dictionary of qualitative inquiry</w:t>
      </w:r>
      <w:r w:rsidRPr="009B13F9">
        <w:rPr>
          <w:rFonts w:ascii="Times New Roman" w:eastAsia="Times New Roman" w:hAnsi="Times New Roman" w:cs="Times New Roman"/>
          <w:sz w:val="24"/>
          <w:szCs w:val="24"/>
        </w:rPr>
        <w:t xml:space="preserve"> (4th ed.). Sage.</w:t>
      </w:r>
    </w:p>
    <w:p w14:paraId="60AD969E"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Tuononen, T., Parpala, A., &amp; Lindblom-Ylänne, S. (2017). Metacognitive awareness in relation to university students’ approaches to learning. </w:t>
      </w:r>
      <w:r w:rsidRPr="009B13F9">
        <w:rPr>
          <w:rFonts w:ascii="Times New Roman" w:eastAsia="Times New Roman" w:hAnsi="Times New Roman" w:cs="Times New Roman"/>
          <w:i/>
          <w:iCs/>
          <w:sz w:val="24"/>
          <w:szCs w:val="24"/>
        </w:rPr>
        <w:t>Metacognition and Learning</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12</w:t>
      </w:r>
      <w:r w:rsidRPr="009B13F9">
        <w:rPr>
          <w:rFonts w:ascii="Times New Roman" w:eastAsia="Times New Roman" w:hAnsi="Times New Roman" w:cs="Times New Roman"/>
          <w:sz w:val="24"/>
          <w:szCs w:val="24"/>
        </w:rPr>
        <w:t>(3), 431–454.</w:t>
      </w:r>
      <w:hyperlink r:id="rId71">
        <w:r w:rsidR="003D5428" w:rsidRPr="009B13F9">
          <w:rPr>
            <w:rFonts w:ascii="Times New Roman" w:eastAsia="Times New Roman" w:hAnsi="Times New Roman" w:cs="Times New Roman"/>
            <w:sz w:val="24"/>
            <w:szCs w:val="24"/>
          </w:rPr>
          <w:t xml:space="preserve"> </w:t>
        </w:r>
      </w:hyperlink>
      <w:hyperlink r:id="rId72">
        <w:r w:rsidR="003D5428" w:rsidRPr="009B13F9">
          <w:rPr>
            <w:rFonts w:ascii="Times New Roman" w:eastAsia="Times New Roman" w:hAnsi="Times New Roman" w:cs="Times New Roman"/>
            <w:color w:val="1155CC"/>
            <w:sz w:val="24"/>
            <w:szCs w:val="24"/>
            <w:u w:val="single"/>
          </w:rPr>
          <w:t>https://doi.org/10.1007/s11409-017-9176-z</w:t>
        </w:r>
      </w:hyperlink>
    </w:p>
    <w:p w14:paraId="7E78095B"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Vygotsky, L. S. (1978). </w:t>
      </w:r>
      <w:r w:rsidRPr="009B13F9">
        <w:rPr>
          <w:rFonts w:ascii="Times New Roman" w:eastAsia="Times New Roman" w:hAnsi="Times New Roman" w:cs="Times New Roman"/>
          <w:i/>
          <w:iCs/>
          <w:sz w:val="24"/>
          <w:szCs w:val="24"/>
        </w:rPr>
        <w:t>Mind in society: The development of higher psychological processes</w:t>
      </w:r>
      <w:r w:rsidRPr="009B13F9">
        <w:rPr>
          <w:rFonts w:ascii="Times New Roman" w:eastAsia="Times New Roman" w:hAnsi="Times New Roman" w:cs="Times New Roman"/>
          <w:sz w:val="24"/>
          <w:szCs w:val="24"/>
        </w:rPr>
        <w:t>. Harvard University Press.</w:t>
      </w:r>
    </w:p>
    <w:p w14:paraId="5E0BDFB8"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lastRenderedPageBreak/>
        <w:t xml:space="preserve">Wang, C. C., &amp; Burris, M. A. (1997). Photovoice: Concept, methodology, and use for participatory needs assessment. </w:t>
      </w:r>
      <w:r w:rsidRPr="009B13F9">
        <w:rPr>
          <w:rFonts w:ascii="Times New Roman" w:eastAsia="Times New Roman" w:hAnsi="Times New Roman" w:cs="Times New Roman"/>
          <w:i/>
          <w:iCs/>
          <w:sz w:val="24"/>
          <w:szCs w:val="24"/>
        </w:rPr>
        <w:t>Health Education &amp; Behavior</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24</w:t>
      </w:r>
      <w:r w:rsidRPr="009B13F9">
        <w:rPr>
          <w:rFonts w:ascii="Times New Roman" w:eastAsia="Times New Roman" w:hAnsi="Times New Roman" w:cs="Times New Roman"/>
          <w:sz w:val="24"/>
          <w:szCs w:val="24"/>
        </w:rPr>
        <w:t>(3), 369–387.</w:t>
      </w:r>
      <w:hyperlink r:id="rId73">
        <w:r w:rsidR="003D5428" w:rsidRPr="009B13F9">
          <w:rPr>
            <w:rFonts w:ascii="Times New Roman" w:eastAsia="Times New Roman" w:hAnsi="Times New Roman" w:cs="Times New Roman"/>
            <w:sz w:val="24"/>
            <w:szCs w:val="24"/>
          </w:rPr>
          <w:t xml:space="preserve"> </w:t>
        </w:r>
      </w:hyperlink>
      <w:hyperlink r:id="rId74">
        <w:r w:rsidR="003D5428" w:rsidRPr="009B13F9">
          <w:rPr>
            <w:rFonts w:ascii="Times New Roman" w:eastAsia="Times New Roman" w:hAnsi="Times New Roman" w:cs="Times New Roman"/>
            <w:color w:val="1155CC"/>
            <w:sz w:val="24"/>
            <w:szCs w:val="24"/>
            <w:u w:val="single"/>
          </w:rPr>
          <w:t>https://doi.org/10.1177/109019819702400309</w:t>
        </w:r>
      </w:hyperlink>
    </w:p>
    <w:p w14:paraId="089272D5" w14:textId="77777777" w:rsidR="003D5428" w:rsidRPr="009B13F9" w:rsidRDefault="00000000" w:rsidP="009B13F9">
      <w:pPr>
        <w:spacing w:before="240" w:after="240" w:line="480" w:lineRule="auto"/>
        <w:ind w:left="720" w:hanging="720"/>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Yin, R. K. (2018). </w:t>
      </w:r>
      <w:r w:rsidRPr="009B13F9">
        <w:rPr>
          <w:rFonts w:ascii="Times New Roman" w:eastAsia="Times New Roman" w:hAnsi="Times New Roman" w:cs="Times New Roman"/>
          <w:i/>
          <w:iCs/>
          <w:sz w:val="24"/>
          <w:szCs w:val="24"/>
        </w:rPr>
        <w:t>Case study research and applications: Design and methods</w:t>
      </w:r>
      <w:r w:rsidRPr="009B13F9">
        <w:rPr>
          <w:rFonts w:ascii="Times New Roman" w:eastAsia="Times New Roman" w:hAnsi="Times New Roman" w:cs="Times New Roman"/>
          <w:sz w:val="24"/>
          <w:szCs w:val="24"/>
        </w:rPr>
        <w:t xml:space="preserve"> (6th ed.). Sage.</w:t>
      </w:r>
    </w:p>
    <w:p w14:paraId="754C18D0"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Zimmerman, B. J. (2002). Becoming a self-regulated learner: An overview. </w:t>
      </w:r>
      <w:r w:rsidRPr="009B13F9">
        <w:rPr>
          <w:rFonts w:ascii="Times New Roman" w:eastAsia="Times New Roman" w:hAnsi="Times New Roman" w:cs="Times New Roman"/>
          <w:i/>
          <w:iCs/>
          <w:sz w:val="24"/>
          <w:szCs w:val="24"/>
        </w:rPr>
        <w:t>Theory Into Practice</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41</w:t>
      </w:r>
      <w:r w:rsidRPr="009B13F9">
        <w:rPr>
          <w:rFonts w:ascii="Times New Roman" w:eastAsia="Times New Roman" w:hAnsi="Times New Roman" w:cs="Times New Roman"/>
          <w:sz w:val="24"/>
          <w:szCs w:val="24"/>
        </w:rPr>
        <w:t>(2), 64–70.</w:t>
      </w:r>
      <w:hyperlink r:id="rId75">
        <w:r w:rsidR="003D5428" w:rsidRPr="009B13F9">
          <w:rPr>
            <w:rFonts w:ascii="Times New Roman" w:eastAsia="Times New Roman" w:hAnsi="Times New Roman" w:cs="Times New Roman"/>
            <w:sz w:val="24"/>
            <w:szCs w:val="24"/>
          </w:rPr>
          <w:t xml:space="preserve"> </w:t>
        </w:r>
      </w:hyperlink>
      <w:hyperlink r:id="rId76">
        <w:r w:rsidR="003D5428" w:rsidRPr="009B13F9">
          <w:rPr>
            <w:rFonts w:ascii="Times New Roman" w:eastAsia="Times New Roman" w:hAnsi="Times New Roman" w:cs="Times New Roman"/>
            <w:color w:val="1155CC"/>
            <w:sz w:val="24"/>
            <w:szCs w:val="24"/>
            <w:u w:val="single"/>
          </w:rPr>
          <w:t>https://doi.org/10.1207/s15430421tip4102_2</w:t>
        </w:r>
      </w:hyperlink>
    </w:p>
    <w:p w14:paraId="0360CFB0" w14:textId="77777777" w:rsidR="003D5428" w:rsidRPr="009B13F9" w:rsidRDefault="00000000" w:rsidP="009B13F9">
      <w:pPr>
        <w:spacing w:before="240" w:after="240" w:line="480" w:lineRule="auto"/>
        <w:ind w:left="720" w:hanging="720"/>
        <w:rPr>
          <w:rFonts w:ascii="Times New Roman" w:eastAsia="Times New Roman" w:hAnsi="Times New Roman" w:cs="Times New Roman"/>
          <w:color w:val="1155CC"/>
          <w:sz w:val="24"/>
          <w:szCs w:val="24"/>
          <w:u w:val="single"/>
        </w:rPr>
      </w:pPr>
      <w:r w:rsidRPr="009B13F9">
        <w:rPr>
          <w:rFonts w:ascii="Times New Roman" w:eastAsia="Times New Roman" w:hAnsi="Times New Roman" w:cs="Times New Roman"/>
          <w:sz w:val="24"/>
          <w:szCs w:val="24"/>
        </w:rPr>
        <w:t xml:space="preserve">Zimmerman, B. J. (2008). Investigating self-regulation and motivation: Historical background, methodological developments, and future prospects. </w:t>
      </w:r>
      <w:r w:rsidRPr="009B13F9">
        <w:rPr>
          <w:rFonts w:ascii="Times New Roman" w:eastAsia="Times New Roman" w:hAnsi="Times New Roman" w:cs="Times New Roman"/>
          <w:i/>
          <w:iCs/>
          <w:sz w:val="24"/>
          <w:szCs w:val="24"/>
        </w:rPr>
        <w:t>American Educational Research Journal</w:t>
      </w:r>
      <w:r w:rsidRPr="009B13F9">
        <w:rPr>
          <w:rFonts w:ascii="Times New Roman" w:eastAsia="Times New Roman" w:hAnsi="Times New Roman" w:cs="Times New Roman"/>
          <w:sz w:val="24"/>
          <w:szCs w:val="24"/>
        </w:rPr>
        <w:t xml:space="preserve">, </w:t>
      </w:r>
      <w:r w:rsidRPr="009B13F9">
        <w:rPr>
          <w:rFonts w:ascii="Times New Roman" w:eastAsia="Times New Roman" w:hAnsi="Times New Roman" w:cs="Times New Roman"/>
          <w:i/>
          <w:iCs/>
          <w:sz w:val="24"/>
          <w:szCs w:val="24"/>
        </w:rPr>
        <w:t>45</w:t>
      </w:r>
      <w:r w:rsidRPr="009B13F9">
        <w:rPr>
          <w:rFonts w:ascii="Times New Roman" w:eastAsia="Times New Roman" w:hAnsi="Times New Roman" w:cs="Times New Roman"/>
          <w:sz w:val="24"/>
          <w:szCs w:val="24"/>
        </w:rPr>
        <w:t>(1), 166–183.</w:t>
      </w:r>
      <w:hyperlink r:id="rId77">
        <w:r w:rsidR="003D5428" w:rsidRPr="009B13F9">
          <w:rPr>
            <w:rFonts w:ascii="Times New Roman" w:eastAsia="Times New Roman" w:hAnsi="Times New Roman" w:cs="Times New Roman"/>
            <w:sz w:val="24"/>
            <w:szCs w:val="24"/>
          </w:rPr>
          <w:t xml:space="preserve"> </w:t>
        </w:r>
      </w:hyperlink>
      <w:hyperlink r:id="rId78">
        <w:r w:rsidR="003D5428" w:rsidRPr="009B13F9">
          <w:rPr>
            <w:rFonts w:ascii="Times New Roman" w:eastAsia="Times New Roman" w:hAnsi="Times New Roman" w:cs="Times New Roman"/>
            <w:color w:val="1155CC"/>
            <w:sz w:val="24"/>
            <w:szCs w:val="24"/>
            <w:u w:val="single"/>
          </w:rPr>
          <w:t>https://doi.org/10.3102/0002831207312909</w:t>
        </w:r>
      </w:hyperlink>
    </w:p>
    <w:p w14:paraId="35F51EAE" w14:textId="77777777" w:rsidR="002F3B2B" w:rsidRPr="009B13F9" w:rsidRDefault="002F3B2B" w:rsidP="009B13F9">
      <w:pPr>
        <w:spacing w:line="480" w:lineRule="auto"/>
        <w:rPr>
          <w:rFonts w:ascii="Times New Roman" w:eastAsia="Times New Roman" w:hAnsi="Times New Roman" w:cs="Times New Roman"/>
          <w:b/>
          <w:bCs/>
          <w:sz w:val="24"/>
          <w:szCs w:val="24"/>
        </w:rPr>
      </w:pPr>
      <w:bookmarkStart w:id="164" w:name="_3cbh9jz1ffeb" w:colFirst="0" w:colLast="0"/>
      <w:bookmarkEnd w:id="164"/>
      <w:r w:rsidRPr="009B13F9">
        <w:rPr>
          <w:rFonts w:ascii="Times New Roman" w:eastAsia="Times New Roman" w:hAnsi="Times New Roman" w:cs="Times New Roman"/>
          <w:b/>
          <w:bCs/>
          <w:sz w:val="24"/>
          <w:szCs w:val="24"/>
        </w:rPr>
        <w:br w:type="page"/>
      </w:r>
    </w:p>
    <w:p w14:paraId="340C4A9C" w14:textId="29C64295" w:rsidR="003D5428" w:rsidRPr="009B13F9" w:rsidRDefault="00000000" w:rsidP="009B13F9">
      <w:pPr>
        <w:pStyle w:val="Heading1"/>
        <w:spacing w:line="480" w:lineRule="auto"/>
        <w:jc w:val="center"/>
        <w:rPr>
          <w:rFonts w:ascii="Times New Roman" w:eastAsia="Times New Roman" w:hAnsi="Times New Roman" w:cs="Times New Roman"/>
          <w:b/>
          <w:bCs/>
          <w:sz w:val="24"/>
          <w:szCs w:val="24"/>
        </w:rPr>
      </w:pPr>
      <w:bookmarkStart w:id="165" w:name="_Toc235800244"/>
      <w:r w:rsidRPr="009B13F9">
        <w:rPr>
          <w:rFonts w:ascii="Times New Roman" w:eastAsia="Times New Roman" w:hAnsi="Times New Roman" w:cs="Times New Roman"/>
          <w:b/>
          <w:bCs/>
          <w:sz w:val="24"/>
          <w:szCs w:val="24"/>
        </w:rPr>
        <w:lastRenderedPageBreak/>
        <w:t>Appendix A</w:t>
      </w:r>
      <w:bookmarkEnd w:id="165"/>
    </w:p>
    <w:p w14:paraId="56971AF0"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b/>
          <w:bCs/>
          <w:color w:val="000000"/>
          <w:sz w:val="24"/>
          <w:szCs w:val="24"/>
        </w:rPr>
      </w:pPr>
      <w:bookmarkStart w:id="166" w:name="_c5esru5asmx" w:colFirst="0" w:colLast="0"/>
      <w:bookmarkStart w:id="167" w:name="_Toc235800245"/>
      <w:bookmarkEnd w:id="166"/>
      <w:r w:rsidRPr="009B13F9">
        <w:rPr>
          <w:rFonts w:ascii="Times New Roman" w:eastAsia="Times New Roman" w:hAnsi="Times New Roman" w:cs="Times New Roman"/>
          <w:b/>
          <w:bCs/>
          <w:color w:val="000000"/>
          <w:sz w:val="24"/>
          <w:szCs w:val="24"/>
        </w:rPr>
        <w:t>Table A1</w:t>
      </w:r>
      <w:bookmarkEnd w:id="167"/>
    </w:p>
    <w:p w14:paraId="7DF141F9" w14:textId="77777777" w:rsidR="003D5428" w:rsidRPr="009B13F9" w:rsidRDefault="00000000" w:rsidP="009B13F9">
      <w:pPr>
        <w:spacing w:after="24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i/>
          <w:iCs/>
          <w:sz w:val="24"/>
          <w:szCs w:val="24"/>
        </w:rPr>
        <w:t>Demographic Characteristics of Semi-Structured Interview Participants (N = 13)</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3D5428" w:rsidRPr="009B13F9" w14:paraId="03203D8A" w14:textId="77777777">
        <w:tc>
          <w:tcPr>
            <w:tcW w:w="2340" w:type="dxa"/>
            <w:tcMar>
              <w:top w:w="100" w:type="dxa"/>
              <w:left w:w="100" w:type="dxa"/>
              <w:bottom w:w="100" w:type="dxa"/>
              <w:right w:w="100" w:type="dxa"/>
            </w:tcMar>
          </w:tcPr>
          <w:p w14:paraId="2B7CF707"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Academic Year</w:t>
            </w:r>
          </w:p>
        </w:tc>
        <w:tc>
          <w:tcPr>
            <w:tcW w:w="2340" w:type="dxa"/>
            <w:tcMar>
              <w:top w:w="100" w:type="dxa"/>
              <w:left w:w="100" w:type="dxa"/>
              <w:bottom w:w="100" w:type="dxa"/>
              <w:right w:w="100" w:type="dxa"/>
            </w:tcMar>
          </w:tcPr>
          <w:p w14:paraId="741D8DE6"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Country of Origin</w:t>
            </w:r>
          </w:p>
        </w:tc>
        <w:tc>
          <w:tcPr>
            <w:tcW w:w="2340" w:type="dxa"/>
            <w:tcMar>
              <w:top w:w="100" w:type="dxa"/>
              <w:left w:w="100" w:type="dxa"/>
              <w:bottom w:w="100" w:type="dxa"/>
              <w:right w:w="100" w:type="dxa"/>
            </w:tcMar>
          </w:tcPr>
          <w:p w14:paraId="2CD99FE6"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Mode of Attendance in Class</w:t>
            </w:r>
          </w:p>
        </w:tc>
        <w:tc>
          <w:tcPr>
            <w:tcW w:w="2340" w:type="dxa"/>
            <w:tcMar>
              <w:top w:w="100" w:type="dxa"/>
              <w:left w:w="100" w:type="dxa"/>
              <w:bottom w:w="100" w:type="dxa"/>
              <w:right w:w="100" w:type="dxa"/>
            </w:tcMar>
          </w:tcPr>
          <w:p w14:paraId="33D81166"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Number of Participants (n)</w:t>
            </w:r>
          </w:p>
        </w:tc>
      </w:tr>
      <w:tr w:rsidR="003D5428" w:rsidRPr="009B13F9" w14:paraId="56629B1C" w14:textId="77777777">
        <w:tc>
          <w:tcPr>
            <w:tcW w:w="2340" w:type="dxa"/>
            <w:tcMar>
              <w:top w:w="100" w:type="dxa"/>
              <w:left w:w="100" w:type="dxa"/>
              <w:bottom w:w="100" w:type="dxa"/>
              <w:right w:w="100" w:type="dxa"/>
            </w:tcMar>
          </w:tcPr>
          <w:p w14:paraId="06E5958D"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 xml:space="preserve">First Year </w:t>
            </w:r>
            <w:r w:rsidRPr="009B13F9">
              <w:rPr>
                <w:rFonts w:ascii="Times New Roman" w:eastAsia="Times New Roman" w:hAnsi="Times New Roman" w:cs="Times New Roman"/>
                <w:sz w:val="24"/>
                <w:szCs w:val="24"/>
              </w:rPr>
              <w:t>(n=4)</w:t>
            </w:r>
          </w:p>
        </w:tc>
        <w:tc>
          <w:tcPr>
            <w:tcW w:w="2340" w:type="dxa"/>
            <w:tcMar>
              <w:top w:w="100" w:type="dxa"/>
              <w:left w:w="100" w:type="dxa"/>
              <w:bottom w:w="100" w:type="dxa"/>
              <w:right w:w="100" w:type="dxa"/>
            </w:tcMar>
          </w:tcPr>
          <w:p w14:paraId="30A7017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2340" w:type="dxa"/>
            <w:tcMar>
              <w:top w:w="100" w:type="dxa"/>
              <w:left w:w="100" w:type="dxa"/>
              <w:bottom w:w="100" w:type="dxa"/>
              <w:right w:w="100" w:type="dxa"/>
            </w:tcMar>
          </w:tcPr>
          <w:p w14:paraId="11F0086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407EAA93"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3</w:t>
            </w:r>
          </w:p>
        </w:tc>
      </w:tr>
      <w:tr w:rsidR="003D5428" w:rsidRPr="009B13F9" w14:paraId="4CABADBD" w14:textId="77777777">
        <w:tc>
          <w:tcPr>
            <w:tcW w:w="2340" w:type="dxa"/>
            <w:tcMar>
              <w:top w:w="100" w:type="dxa"/>
              <w:left w:w="100" w:type="dxa"/>
              <w:bottom w:w="100" w:type="dxa"/>
              <w:right w:w="100" w:type="dxa"/>
            </w:tcMar>
          </w:tcPr>
          <w:p w14:paraId="1FE57144" w14:textId="77777777" w:rsidR="003D5428" w:rsidRPr="009B13F9" w:rsidRDefault="003D5428" w:rsidP="009B13F9">
            <w:pPr>
              <w:widowControl w:val="0"/>
              <w:spacing w:line="480" w:lineRule="auto"/>
              <w:rPr>
                <w:rFonts w:ascii="Times New Roman" w:eastAsia="Times New Roman" w:hAnsi="Times New Roman" w:cs="Times New Roman"/>
                <w:b/>
                <w:bCs/>
                <w:sz w:val="24"/>
                <w:szCs w:val="24"/>
              </w:rPr>
            </w:pPr>
          </w:p>
        </w:tc>
        <w:tc>
          <w:tcPr>
            <w:tcW w:w="2340" w:type="dxa"/>
            <w:tcMar>
              <w:top w:w="100" w:type="dxa"/>
              <w:left w:w="100" w:type="dxa"/>
              <w:bottom w:w="100" w:type="dxa"/>
              <w:right w:w="100" w:type="dxa"/>
            </w:tcMar>
          </w:tcPr>
          <w:p w14:paraId="40370D5A"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w:t>
            </w:r>
          </w:p>
        </w:tc>
        <w:tc>
          <w:tcPr>
            <w:tcW w:w="2340" w:type="dxa"/>
            <w:tcMar>
              <w:top w:w="100" w:type="dxa"/>
              <w:left w:w="100" w:type="dxa"/>
              <w:bottom w:w="100" w:type="dxa"/>
              <w:right w:w="100" w:type="dxa"/>
            </w:tcMar>
          </w:tcPr>
          <w:p w14:paraId="1B0812C2"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Remote (online)</w:t>
            </w:r>
          </w:p>
        </w:tc>
        <w:tc>
          <w:tcPr>
            <w:tcW w:w="2340" w:type="dxa"/>
            <w:tcMar>
              <w:top w:w="100" w:type="dxa"/>
              <w:left w:w="100" w:type="dxa"/>
              <w:bottom w:w="100" w:type="dxa"/>
              <w:right w:w="100" w:type="dxa"/>
            </w:tcMar>
          </w:tcPr>
          <w:p w14:paraId="1FC466E2"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w:t>
            </w:r>
          </w:p>
        </w:tc>
      </w:tr>
      <w:tr w:rsidR="003D5428" w:rsidRPr="009B13F9" w14:paraId="3C139A1F" w14:textId="77777777">
        <w:tc>
          <w:tcPr>
            <w:tcW w:w="2340" w:type="dxa"/>
            <w:tcMar>
              <w:top w:w="100" w:type="dxa"/>
              <w:left w:w="100" w:type="dxa"/>
              <w:bottom w:w="100" w:type="dxa"/>
              <w:right w:w="100" w:type="dxa"/>
            </w:tcMar>
          </w:tcPr>
          <w:p w14:paraId="713509FE"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 xml:space="preserve">Second Year </w:t>
            </w:r>
            <w:r w:rsidRPr="009B13F9">
              <w:rPr>
                <w:rFonts w:ascii="Times New Roman" w:eastAsia="Times New Roman" w:hAnsi="Times New Roman" w:cs="Times New Roman"/>
                <w:sz w:val="24"/>
                <w:szCs w:val="24"/>
              </w:rPr>
              <w:t>(n=9)</w:t>
            </w:r>
          </w:p>
        </w:tc>
        <w:tc>
          <w:tcPr>
            <w:tcW w:w="2340" w:type="dxa"/>
            <w:tcMar>
              <w:top w:w="100" w:type="dxa"/>
              <w:left w:w="100" w:type="dxa"/>
              <w:bottom w:w="100" w:type="dxa"/>
              <w:right w:w="100" w:type="dxa"/>
            </w:tcMar>
          </w:tcPr>
          <w:p w14:paraId="1ACD496A"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2340" w:type="dxa"/>
            <w:tcMar>
              <w:top w:w="100" w:type="dxa"/>
              <w:left w:w="100" w:type="dxa"/>
              <w:bottom w:w="100" w:type="dxa"/>
              <w:right w:w="100" w:type="dxa"/>
            </w:tcMar>
          </w:tcPr>
          <w:p w14:paraId="50862FF6"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46EAE302"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3</w:t>
            </w:r>
          </w:p>
        </w:tc>
      </w:tr>
      <w:tr w:rsidR="003D5428" w:rsidRPr="009B13F9" w14:paraId="4A694A8C" w14:textId="77777777">
        <w:tc>
          <w:tcPr>
            <w:tcW w:w="2340" w:type="dxa"/>
            <w:tcMar>
              <w:top w:w="100" w:type="dxa"/>
              <w:left w:w="100" w:type="dxa"/>
              <w:bottom w:w="100" w:type="dxa"/>
              <w:right w:w="100" w:type="dxa"/>
            </w:tcMar>
          </w:tcPr>
          <w:p w14:paraId="570C5B4C" w14:textId="77777777" w:rsidR="003D5428" w:rsidRPr="009B13F9" w:rsidRDefault="003D5428" w:rsidP="009B13F9">
            <w:pPr>
              <w:widowControl w:val="0"/>
              <w:spacing w:line="480" w:lineRule="auto"/>
              <w:rPr>
                <w:rFonts w:ascii="Times New Roman" w:eastAsia="Times New Roman" w:hAnsi="Times New Roman" w:cs="Times New Roman"/>
                <w:b/>
                <w:bCs/>
                <w:sz w:val="24"/>
                <w:szCs w:val="24"/>
              </w:rPr>
            </w:pPr>
          </w:p>
        </w:tc>
        <w:tc>
          <w:tcPr>
            <w:tcW w:w="2340" w:type="dxa"/>
            <w:tcMar>
              <w:top w:w="100" w:type="dxa"/>
              <w:left w:w="100" w:type="dxa"/>
              <w:bottom w:w="100" w:type="dxa"/>
              <w:right w:w="100" w:type="dxa"/>
            </w:tcMar>
          </w:tcPr>
          <w:p w14:paraId="101749C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w:t>
            </w:r>
          </w:p>
        </w:tc>
        <w:tc>
          <w:tcPr>
            <w:tcW w:w="2340" w:type="dxa"/>
            <w:tcMar>
              <w:top w:w="100" w:type="dxa"/>
              <w:left w:w="100" w:type="dxa"/>
              <w:bottom w:w="100" w:type="dxa"/>
              <w:right w:w="100" w:type="dxa"/>
            </w:tcMar>
          </w:tcPr>
          <w:p w14:paraId="68752E1A"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7276961A"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4</w:t>
            </w:r>
          </w:p>
        </w:tc>
      </w:tr>
      <w:tr w:rsidR="003D5428" w:rsidRPr="009B13F9" w14:paraId="491D9007" w14:textId="77777777">
        <w:tc>
          <w:tcPr>
            <w:tcW w:w="2340" w:type="dxa"/>
            <w:tcMar>
              <w:top w:w="100" w:type="dxa"/>
              <w:left w:w="100" w:type="dxa"/>
              <w:bottom w:w="100" w:type="dxa"/>
              <w:right w:w="100" w:type="dxa"/>
            </w:tcMar>
          </w:tcPr>
          <w:p w14:paraId="445DB44D" w14:textId="77777777" w:rsidR="003D5428" w:rsidRPr="009B13F9" w:rsidRDefault="003D5428" w:rsidP="009B13F9">
            <w:pPr>
              <w:widowControl w:val="0"/>
              <w:spacing w:line="480" w:lineRule="auto"/>
              <w:rPr>
                <w:rFonts w:ascii="Times New Roman" w:eastAsia="Times New Roman" w:hAnsi="Times New Roman" w:cs="Times New Roman"/>
                <w:b/>
                <w:bCs/>
                <w:sz w:val="24"/>
                <w:szCs w:val="24"/>
              </w:rPr>
            </w:pPr>
          </w:p>
        </w:tc>
        <w:tc>
          <w:tcPr>
            <w:tcW w:w="2340" w:type="dxa"/>
            <w:tcMar>
              <w:top w:w="100" w:type="dxa"/>
              <w:left w:w="100" w:type="dxa"/>
              <w:bottom w:w="100" w:type="dxa"/>
              <w:right w:w="100" w:type="dxa"/>
            </w:tcMar>
          </w:tcPr>
          <w:p w14:paraId="59DAC6D6"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Myanmar</w:t>
            </w:r>
          </w:p>
        </w:tc>
        <w:tc>
          <w:tcPr>
            <w:tcW w:w="2340" w:type="dxa"/>
            <w:tcMar>
              <w:top w:w="100" w:type="dxa"/>
              <w:left w:w="100" w:type="dxa"/>
              <w:bottom w:w="100" w:type="dxa"/>
              <w:right w:w="100" w:type="dxa"/>
            </w:tcMar>
          </w:tcPr>
          <w:p w14:paraId="390AE9EB"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72BC9E9B"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w:t>
            </w:r>
          </w:p>
        </w:tc>
      </w:tr>
      <w:tr w:rsidR="003D5428" w:rsidRPr="009B13F9" w14:paraId="7A731A3B" w14:textId="77777777">
        <w:tc>
          <w:tcPr>
            <w:tcW w:w="2340" w:type="dxa"/>
            <w:tcMar>
              <w:top w:w="100" w:type="dxa"/>
              <w:left w:w="100" w:type="dxa"/>
              <w:bottom w:w="100" w:type="dxa"/>
              <w:right w:w="100" w:type="dxa"/>
            </w:tcMar>
          </w:tcPr>
          <w:p w14:paraId="0E2B2FCB" w14:textId="77777777" w:rsidR="003D5428" w:rsidRPr="009B13F9" w:rsidRDefault="003D5428" w:rsidP="009B13F9">
            <w:pPr>
              <w:widowControl w:val="0"/>
              <w:spacing w:line="480" w:lineRule="auto"/>
              <w:rPr>
                <w:rFonts w:ascii="Times New Roman" w:eastAsia="Times New Roman" w:hAnsi="Times New Roman" w:cs="Times New Roman"/>
                <w:b/>
                <w:bCs/>
                <w:sz w:val="24"/>
                <w:szCs w:val="24"/>
              </w:rPr>
            </w:pPr>
          </w:p>
        </w:tc>
        <w:tc>
          <w:tcPr>
            <w:tcW w:w="2340" w:type="dxa"/>
            <w:tcMar>
              <w:top w:w="100" w:type="dxa"/>
              <w:left w:w="100" w:type="dxa"/>
              <w:bottom w:w="100" w:type="dxa"/>
              <w:right w:w="100" w:type="dxa"/>
            </w:tcMar>
          </w:tcPr>
          <w:p w14:paraId="29D52AA8"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Timor-Leste</w:t>
            </w:r>
          </w:p>
        </w:tc>
        <w:tc>
          <w:tcPr>
            <w:tcW w:w="2340" w:type="dxa"/>
            <w:tcMar>
              <w:top w:w="100" w:type="dxa"/>
              <w:left w:w="100" w:type="dxa"/>
              <w:bottom w:w="100" w:type="dxa"/>
              <w:right w:w="100" w:type="dxa"/>
            </w:tcMar>
          </w:tcPr>
          <w:p w14:paraId="71D23370"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280C49A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w:t>
            </w:r>
          </w:p>
        </w:tc>
      </w:tr>
      <w:tr w:rsidR="003D5428" w:rsidRPr="009B13F9" w14:paraId="6642692B" w14:textId="77777777">
        <w:tc>
          <w:tcPr>
            <w:tcW w:w="2340" w:type="dxa"/>
            <w:tcMar>
              <w:top w:w="100" w:type="dxa"/>
              <w:left w:w="100" w:type="dxa"/>
              <w:bottom w:w="100" w:type="dxa"/>
              <w:right w:w="100" w:type="dxa"/>
            </w:tcMar>
          </w:tcPr>
          <w:p w14:paraId="2CC245F7"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Total</w:t>
            </w:r>
          </w:p>
        </w:tc>
        <w:tc>
          <w:tcPr>
            <w:tcW w:w="2340" w:type="dxa"/>
            <w:tcMar>
              <w:top w:w="100" w:type="dxa"/>
              <w:left w:w="100" w:type="dxa"/>
              <w:bottom w:w="100" w:type="dxa"/>
              <w:right w:w="100" w:type="dxa"/>
            </w:tcMar>
          </w:tcPr>
          <w:p w14:paraId="3402EA60" w14:textId="77777777" w:rsidR="003D5428" w:rsidRPr="009B13F9" w:rsidRDefault="003D5428" w:rsidP="009B13F9">
            <w:pPr>
              <w:widowControl w:val="0"/>
              <w:spacing w:line="480" w:lineRule="auto"/>
              <w:rPr>
                <w:rFonts w:ascii="Times New Roman" w:eastAsia="Times New Roman" w:hAnsi="Times New Roman" w:cs="Times New Roman"/>
                <w:sz w:val="24"/>
                <w:szCs w:val="24"/>
              </w:rPr>
            </w:pPr>
          </w:p>
        </w:tc>
        <w:tc>
          <w:tcPr>
            <w:tcW w:w="2340" w:type="dxa"/>
            <w:tcMar>
              <w:top w:w="100" w:type="dxa"/>
              <w:left w:w="100" w:type="dxa"/>
              <w:bottom w:w="100" w:type="dxa"/>
              <w:right w:w="100" w:type="dxa"/>
            </w:tcMar>
          </w:tcPr>
          <w:p w14:paraId="6EE62FF3" w14:textId="77777777" w:rsidR="003D5428" w:rsidRPr="009B13F9" w:rsidRDefault="003D5428" w:rsidP="009B13F9">
            <w:pPr>
              <w:widowControl w:val="0"/>
              <w:spacing w:line="480" w:lineRule="auto"/>
              <w:rPr>
                <w:rFonts w:ascii="Times New Roman" w:eastAsia="Times New Roman" w:hAnsi="Times New Roman" w:cs="Times New Roman"/>
                <w:sz w:val="24"/>
                <w:szCs w:val="24"/>
              </w:rPr>
            </w:pPr>
          </w:p>
        </w:tc>
        <w:tc>
          <w:tcPr>
            <w:tcW w:w="2340" w:type="dxa"/>
            <w:tcMar>
              <w:top w:w="100" w:type="dxa"/>
              <w:left w:w="100" w:type="dxa"/>
              <w:bottom w:w="100" w:type="dxa"/>
              <w:right w:w="100" w:type="dxa"/>
            </w:tcMar>
          </w:tcPr>
          <w:p w14:paraId="0FCA7DA2"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13</w:t>
            </w:r>
          </w:p>
        </w:tc>
      </w:tr>
    </w:tbl>
    <w:p w14:paraId="1CC9951A" w14:textId="77777777" w:rsidR="003D5428" w:rsidRPr="009B13F9" w:rsidRDefault="003D5428" w:rsidP="009B13F9">
      <w:pPr>
        <w:pStyle w:val="Heading3"/>
        <w:keepNext w:val="0"/>
        <w:keepLines w:val="0"/>
        <w:spacing w:before="0" w:line="480" w:lineRule="auto"/>
        <w:rPr>
          <w:rFonts w:ascii="Times New Roman" w:eastAsia="Times New Roman" w:hAnsi="Times New Roman" w:cs="Times New Roman"/>
          <w:b/>
          <w:bCs/>
          <w:color w:val="000000"/>
          <w:sz w:val="24"/>
          <w:szCs w:val="24"/>
        </w:rPr>
      </w:pPr>
      <w:bookmarkStart w:id="168" w:name="_uvnf3g38dtpq" w:colFirst="0" w:colLast="0"/>
      <w:bookmarkEnd w:id="168"/>
    </w:p>
    <w:p w14:paraId="71BFBC26" w14:textId="77777777" w:rsidR="002F3B2B" w:rsidRPr="009B13F9" w:rsidRDefault="002F3B2B" w:rsidP="009B13F9">
      <w:pPr>
        <w:spacing w:line="480" w:lineRule="auto"/>
        <w:rPr>
          <w:rFonts w:ascii="Times New Roman" w:eastAsia="Times New Roman" w:hAnsi="Times New Roman" w:cs="Times New Roman"/>
          <w:b/>
          <w:bCs/>
          <w:color w:val="000000"/>
          <w:sz w:val="24"/>
          <w:szCs w:val="24"/>
        </w:rPr>
      </w:pPr>
      <w:bookmarkStart w:id="169" w:name="_avyl8h6xm9if" w:colFirst="0" w:colLast="0"/>
      <w:bookmarkEnd w:id="169"/>
      <w:r w:rsidRPr="009B13F9">
        <w:rPr>
          <w:rFonts w:ascii="Times New Roman" w:eastAsia="Times New Roman" w:hAnsi="Times New Roman" w:cs="Times New Roman"/>
          <w:b/>
          <w:bCs/>
          <w:color w:val="000000"/>
          <w:sz w:val="24"/>
          <w:szCs w:val="24"/>
        </w:rPr>
        <w:br w:type="page"/>
      </w:r>
    </w:p>
    <w:p w14:paraId="7C69D14C" w14:textId="17A6B6CE" w:rsidR="003D5428" w:rsidRPr="009B13F9" w:rsidRDefault="00000000" w:rsidP="009B13F9">
      <w:pPr>
        <w:pStyle w:val="Heading3"/>
        <w:keepNext w:val="0"/>
        <w:keepLines w:val="0"/>
        <w:spacing w:before="0" w:line="480" w:lineRule="auto"/>
        <w:rPr>
          <w:rFonts w:ascii="Times New Roman" w:eastAsia="Times New Roman" w:hAnsi="Times New Roman" w:cs="Times New Roman"/>
          <w:b/>
          <w:bCs/>
          <w:color w:val="000000"/>
          <w:sz w:val="24"/>
          <w:szCs w:val="24"/>
        </w:rPr>
      </w:pPr>
      <w:bookmarkStart w:id="170" w:name="_Toc235800246"/>
      <w:r w:rsidRPr="009B13F9">
        <w:rPr>
          <w:rFonts w:ascii="Times New Roman" w:eastAsia="Times New Roman" w:hAnsi="Times New Roman" w:cs="Times New Roman"/>
          <w:b/>
          <w:bCs/>
          <w:color w:val="000000"/>
          <w:sz w:val="24"/>
          <w:szCs w:val="24"/>
        </w:rPr>
        <w:lastRenderedPageBreak/>
        <w:t>Table A2</w:t>
      </w:r>
      <w:bookmarkEnd w:id="170"/>
    </w:p>
    <w:p w14:paraId="028F3C10" w14:textId="77777777" w:rsidR="003D5428" w:rsidRPr="009B13F9" w:rsidRDefault="00000000" w:rsidP="009B13F9">
      <w:pPr>
        <w:spacing w:after="24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i/>
          <w:iCs/>
          <w:sz w:val="24"/>
          <w:szCs w:val="24"/>
        </w:rPr>
        <w:t>Demographic Characteristics of Photovoice Participants (n = 7)</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3D5428" w:rsidRPr="009B13F9" w14:paraId="2DCECBA8" w14:textId="77777777">
        <w:tc>
          <w:tcPr>
            <w:tcW w:w="2340" w:type="dxa"/>
            <w:tcMar>
              <w:top w:w="100" w:type="dxa"/>
              <w:left w:w="100" w:type="dxa"/>
              <w:bottom w:w="100" w:type="dxa"/>
              <w:right w:w="100" w:type="dxa"/>
            </w:tcMar>
          </w:tcPr>
          <w:p w14:paraId="4BFFD135"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Academic Year</w:t>
            </w:r>
          </w:p>
        </w:tc>
        <w:tc>
          <w:tcPr>
            <w:tcW w:w="2340" w:type="dxa"/>
            <w:tcMar>
              <w:top w:w="100" w:type="dxa"/>
              <w:left w:w="100" w:type="dxa"/>
              <w:bottom w:w="100" w:type="dxa"/>
              <w:right w:w="100" w:type="dxa"/>
            </w:tcMar>
          </w:tcPr>
          <w:p w14:paraId="3009BC38"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Country of Origin</w:t>
            </w:r>
          </w:p>
        </w:tc>
        <w:tc>
          <w:tcPr>
            <w:tcW w:w="2340" w:type="dxa"/>
            <w:tcMar>
              <w:top w:w="100" w:type="dxa"/>
              <w:left w:w="100" w:type="dxa"/>
              <w:bottom w:w="100" w:type="dxa"/>
              <w:right w:w="100" w:type="dxa"/>
            </w:tcMar>
          </w:tcPr>
          <w:p w14:paraId="00867249"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Mode of Attendance</w:t>
            </w:r>
          </w:p>
        </w:tc>
        <w:tc>
          <w:tcPr>
            <w:tcW w:w="2340" w:type="dxa"/>
            <w:tcMar>
              <w:top w:w="100" w:type="dxa"/>
              <w:left w:w="100" w:type="dxa"/>
              <w:bottom w:w="100" w:type="dxa"/>
              <w:right w:w="100" w:type="dxa"/>
            </w:tcMar>
          </w:tcPr>
          <w:p w14:paraId="40DB0800"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Number of Participants (n)</w:t>
            </w:r>
          </w:p>
        </w:tc>
      </w:tr>
      <w:tr w:rsidR="003D5428" w:rsidRPr="009B13F9" w14:paraId="63FCAB23" w14:textId="77777777">
        <w:tc>
          <w:tcPr>
            <w:tcW w:w="2340" w:type="dxa"/>
            <w:tcMar>
              <w:top w:w="100" w:type="dxa"/>
              <w:left w:w="100" w:type="dxa"/>
              <w:bottom w:w="100" w:type="dxa"/>
              <w:right w:w="100" w:type="dxa"/>
            </w:tcMar>
          </w:tcPr>
          <w:p w14:paraId="7167C14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 xml:space="preserve">First Year </w:t>
            </w:r>
            <w:r w:rsidRPr="009B13F9">
              <w:rPr>
                <w:rFonts w:ascii="Times New Roman" w:eastAsia="Times New Roman" w:hAnsi="Times New Roman" w:cs="Times New Roman"/>
                <w:sz w:val="24"/>
                <w:szCs w:val="24"/>
              </w:rPr>
              <w:t>(n=2)</w:t>
            </w:r>
          </w:p>
        </w:tc>
        <w:tc>
          <w:tcPr>
            <w:tcW w:w="2340" w:type="dxa"/>
            <w:tcMar>
              <w:top w:w="100" w:type="dxa"/>
              <w:left w:w="100" w:type="dxa"/>
              <w:bottom w:w="100" w:type="dxa"/>
              <w:right w:w="100" w:type="dxa"/>
            </w:tcMar>
          </w:tcPr>
          <w:p w14:paraId="346F7593"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2340" w:type="dxa"/>
            <w:tcMar>
              <w:top w:w="100" w:type="dxa"/>
              <w:left w:w="100" w:type="dxa"/>
              <w:bottom w:w="100" w:type="dxa"/>
              <w:right w:w="100" w:type="dxa"/>
            </w:tcMar>
          </w:tcPr>
          <w:p w14:paraId="32FE50B6"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616B1475"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w:t>
            </w:r>
          </w:p>
        </w:tc>
      </w:tr>
      <w:tr w:rsidR="003D5428" w:rsidRPr="009B13F9" w14:paraId="6811B860" w14:textId="77777777">
        <w:tc>
          <w:tcPr>
            <w:tcW w:w="2340" w:type="dxa"/>
            <w:tcMar>
              <w:top w:w="100" w:type="dxa"/>
              <w:left w:w="100" w:type="dxa"/>
              <w:bottom w:w="100" w:type="dxa"/>
              <w:right w:w="100" w:type="dxa"/>
            </w:tcMar>
          </w:tcPr>
          <w:p w14:paraId="6F3E475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 xml:space="preserve">Second Year </w:t>
            </w:r>
            <w:r w:rsidRPr="009B13F9">
              <w:rPr>
                <w:rFonts w:ascii="Times New Roman" w:eastAsia="Times New Roman" w:hAnsi="Times New Roman" w:cs="Times New Roman"/>
                <w:sz w:val="24"/>
                <w:szCs w:val="24"/>
              </w:rPr>
              <w:t>(n=5)</w:t>
            </w:r>
          </w:p>
        </w:tc>
        <w:tc>
          <w:tcPr>
            <w:tcW w:w="2340" w:type="dxa"/>
            <w:tcMar>
              <w:top w:w="100" w:type="dxa"/>
              <w:left w:w="100" w:type="dxa"/>
              <w:bottom w:w="100" w:type="dxa"/>
              <w:right w:w="100" w:type="dxa"/>
            </w:tcMar>
          </w:tcPr>
          <w:p w14:paraId="434498F8"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2340" w:type="dxa"/>
            <w:tcMar>
              <w:top w:w="100" w:type="dxa"/>
              <w:left w:w="100" w:type="dxa"/>
              <w:bottom w:w="100" w:type="dxa"/>
              <w:right w:w="100" w:type="dxa"/>
            </w:tcMar>
          </w:tcPr>
          <w:p w14:paraId="39AD485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47BE3C0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w:t>
            </w:r>
          </w:p>
        </w:tc>
      </w:tr>
      <w:tr w:rsidR="003D5428" w:rsidRPr="009B13F9" w14:paraId="754EFA3E" w14:textId="77777777">
        <w:tc>
          <w:tcPr>
            <w:tcW w:w="2340" w:type="dxa"/>
            <w:tcMar>
              <w:top w:w="100" w:type="dxa"/>
              <w:left w:w="100" w:type="dxa"/>
              <w:bottom w:w="100" w:type="dxa"/>
              <w:right w:w="100" w:type="dxa"/>
            </w:tcMar>
          </w:tcPr>
          <w:p w14:paraId="0ADB20EE" w14:textId="77777777" w:rsidR="003D5428" w:rsidRPr="009B13F9" w:rsidRDefault="003D5428" w:rsidP="009B13F9">
            <w:pPr>
              <w:widowControl w:val="0"/>
              <w:spacing w:line="480" w:lineRule="auto"/>
              <w:rPr>
                <w:rFonts w:ascii="Times New Roman" w:eastAsia="Times New Roman" w:hAnsi="Times New Roman" w:cs="Times New Roman"/>
                <w:b/>
                <w:bCs/>
                <w:sz w:val="24"/>
                <w:szCs w:val="24"/>
              </w:rPr>
            </w:pPr>
          </w:p>
        </w:tc>
        <w:tc>
          <w:tcPr>
            <w:tcW w:w="2340" w:type="dxa"/>
            <w:tcMar>
              <w:top w:w="100" w:type="dxa"/>
              <w:left w:w="100" w:type="dxa"/>
              <w:bottom w:w="100" w:type="dxa"/>
              <w:right w:w="100" w:type="dxa"/>
            </w:tcMar>
          </w:tcPr>
          <w:p w14:paraId="138B0D13"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w:t>
            </w:r>
          </w:p>
        </w:tc>
        <w:tc>
          <w:tcPr>
            <w:tcW w:w="2340" w:type="dxa"/>
            <w:tcMar>
              <w:top w:w="100" w:type="dxa"/>
              <w:left w:w="100" w:type="dxa"/>
              <w:bottom w:w="100" w:type="dxa"/>
              <w:right w:w="100" w:type="dxa"/>
            </w:tcMar>
          </w:tcPr>
          <w:p w14:paraId="588157B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750FAC3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w:t>
            </w:r>
          </w:p>
        </w:tc>
      </w:tr>
      <w:tr w:rsidR="003D5428" w:rsidRPr="009B13F9" w14:paraId="0F48B45C" w14:textId="77777777">
        <w:tc>
          <w:tcPr>
            <w:tcW w:w="2340" w:type="dxa"/>
            <w:tcMar>
              <w:top w:w="100" w:type="dxa"/>
              <w:left w:w="100" w:type="dxa"/>
              <w:bottom w:w="100" w:type="dxa"/>
              <w:right w:w="100" w:type="dxa"/>
            </w:tcMar>
          </w:tcPr>
          <w:p w14:paraId="71E32052" w14:textId="77777777" w:rsidR="003D5428" w:rsidRPr="009B13F9" w:rsidRDefault="003D5428" w:rsidP="009B13F9">
            <w:pPr>
              <w:widowControl w:val="0"/>
              <w:spacing w:line="480" w:lineRule="auto"/>
              <w:rPr>
                <w:rFonts w:ascii="Times New Roman" w:eastAsia="Times New Roman" w:hAnsi="Times New Roman" w:cs="Times New Roman"/>
                <w:b/>
                <w:bCs/>
                <w:sz w:val="24"/>
                <w:szCs w:val="24"/>
              </w:rPr>
            </w:pPr>
          </w:p>
        </w:tc>
        <w:tc>
          <w:tcPr>
            <w:tcW w:w="2340" w:type="dxa"/>
            <w:tcMar>
              <w:top w:w="100" w:type="dxa"/>
              <w:left w:w="100" w:type="dxa"/>
              <w:bottom w:w="100" w:type="dxa"/>
              <w:right w:w="100" w:type="dxa"/>
            </w:tcMar>
          </w:tcPr>
          <w:p w14:paraId="315BD71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Timor-Leste</w:t>
            </w:r>
          </w:p>
        </w:tc>
        <w:tc>
          <w:tcPr>
            <w:tcW w:w="2340" w:type="dxa"/>
            <w:tcMar>
              <w:top w:w="100" w:type="dxa"/>
              <w:left w:w="100" w:type="dxa"/>
              <w:bottom w:w="100" w:type="dxa"/>
              <w:right w:w="100" w:type="dxa"/>
            </w:tcMar>
          </w:tcPr>
          <w:p w14:paraId="2B58279D"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6FF46EB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w:t>
            </w:r>
          </w:p>
        </w:tc>
      </w:tr>
      <w:tr w:rsidR="003D5428" w:rsidRPr="009B13F9" w14:paraId="77D38C67" w14:textId="77777777">
        <w:tc>
          <w:tcPr>
            <w:tcW w:w="2340" w:type="dxa"/>
            <w:tcMar>
              <w:top w:w="100" w:type="dxa"/>
              <w:left w:w="100" w:type="dxa"/>
              <w:bottom w:w="100" w:type="dxa"/>
              <w:right w:w="100" w:type="dxa"/>
            </w:tcMar>
          </w:tcPr>
          <w:p w14:paraId="733BD85A"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Total</w:t>
            </w:r>
          </w:p>
        </w:tc>
        <w:tc>
          <w:tcPr>
            <w:tcW w:w="2340" w:type="dxa"/>
            <w:tcMar>
              <w:top w:w="100" w:type="dxa"/>
              <w:left w:w="100" w:type="dxa"/>
              <w:bottom w:w="100" w:type="dxa"/>
              <w:right w:w="100" w:type="dxa"/>
            </w:tcMar>
          </w:tcPr>
          <w:p w14:paraId="59E7F7F8" w14:textId="77777777" w:rsidR="003D5428" w:rsidRPr="009B13F9" w:rsidRDefault="003D5428" w:rsidP="009B13F9">
            <w:pPr>
              <w:widowControl w:val="0"/>
              <w:spacing w:line="480" w:lineRule="auto"/>
              <w:rPr>
                <w:rFonts w:ascii="Times New Roman" w:eastAsia="Times New Roman" w:hAnsi="Times New Roman" w:cs="Times New Roman"/>
                <w:b/>
                <w:bCs/>
                <w:sz w:val="24"/>
                <w:szCs w:val="24"/>
              </w:rPr>
            </w:pPr>
          </w:p>
        </w:tc>
        <w:tc>
          <w:tcPr>
            <w:tcW w:w="2340" w:type="dxa"/>
            <w:tcMar>
              <w:top w:w="100" w:type="dxa"/>
              <w:left w:w="100" w:type="dxa"/>
              <w:bottom w:w="100" w:type="dxa"/>
              <w:right w:w="100" w:type="dxa"/>
            </w:tcMar>
          </w:tcPr>
          <w:p w14:paraId="3320C7ED" w14:textId="77777777" w:rsidR="003D5428" w:rsidRPr="009B13F9" w:rsidRDefault="003D5428" w:rsidP="009B13F9">
            <w:pPr>
              <w:widowControl w:val="0"/>
              <w:spacing w:line="480" w:lineRule="auto"/>
              <w:rPr>
                <w:rFonts w:ascii="Times New Roman" w:eastAsia="Times New Roman" w:hAnsi="Times New Roman" w:cs="Times New Roman"/>
                <w:b/>
                <w:bCs/>
                <w:sz w:val="24"/>
                <w:szCs w:val="24"/>
              </w:rPr>
            </w:pPr>
          </w:p>
        </w:tc>
        <w:tc>
          <w:tcPr>
            <w:tcW w:w="2340" w:type="dxa"/>
            <w:tcMar>
              <w:top w:w="100" w:type="dxa"/>
              <w:left w:w="100" w:type="dxa"/>
              <w:bottom w:w="100" w:type="dxa"/>
              <w:right w:w="100" w:type="dxa"/>
            </w:tcMar>
          </w:tcPr>
          <w:p w14:paraId="0BA298FB"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7</w:t>
            </w:r>
          </w:p>
        </w:tc>
      </w:tr>
    </w:tbl>
    <w:p w14:paraId="09BE469B" w14:textId="77777777" w:rsidR="003D5428" w:rsidRPr="009B13F9" w:rsidRDefault="003D5428" w:rsidP="009B13F9">
      <w:pPr>
        <w:pStyle w:val="Heading3"/>
        <w:keepNext w:val="0"/>
        <w:keepLines w:val="0"/>
        <w:spacing w:before="0" w:line="480" w:lineRule="auto"/>
        <w:rPr>
          <w:rFonts w:ascii="Times New Roman" w:eastAsia="Times New Roman" w:hAnsi="Times New Roman" w:cs="Times New Roman"/>
          <w:b/>
          <w:bCs/>
          <w:color w:val="000000"/>
          <w:sz w:val="24"/>
          <w:szCs w:val="24"/>
        </w:rPr>
      </w:pPr>
      <w:bookmarkStart w:id="171" w:name="_pi0ri6yd9aa7" w:colFirst="0" w:colLast="0"/>
      <w:bookmarkEnd w:id="171"/>
    </w:p>
    <w:p w14:paraId="55A66669" w14:textId="77777777" w:rsidR="002F3B2B" w:rsidRPr="009B13F9" w:rsidRDefault="002F3B2B" w:rsidP="009B13F9">
      <w:pPr>
        <w:spacing w:line="480" w:lineRule="auto"/>
        <w:rPr>
          <w:rFonts w:ascii="Times New Roman" w:eastAsia="Times New Roman" w:hAnsi="Times New Roman" w:cs="Times New Roman"/>
          <w:b/>
          <w:bCs/>
          <w:color w:val="000000"/>
          <w:sz w:val="24"/>
          <w:szCs w:val="24"/>
        </w:rPr>
      </w:pPr>
      <w:bookmarkStart w:id="172" w:name="_8sckz0pz4b32" w:colFirst="0" w:colLast="0"/>
      <w:bookmarkEnd w:id="172"/>
      <w:r w:rsidRPr="009B13F9">
        <w:rPr>
          <w:rFonts w:ascii="Times New Roman" w:eastAsia="Times New Roman" w:hAnsi="Times New Roman" w:cs="Times New Roman"/>
          <w:b/>
          <w:bCs/>
          <w:color w:val="000000"/>
          <w:sz w:val="24"/>
          <w:szCs w:val="24"/>
        </w:rPr>
        <w:br w:type="page"/>
      </w:r>
    </w:p>
    <w:p w14:paraId="63A74D19" w14:textId="63A1EA4D" w:rsidR="003D5428" w:rsidRPr="009B13F9" w:rsidRDefault="00000000" w:rsidP="009B13F9">
      <w:pPr>
        <w:pStyle w:val="Heading3"/>
        <w:keepNext w:val="0"/>
        <w:keepLines w:val="0"/>
        <w:spacing w:before="0" w:line="480" w:lineRule="auto"/>
        <w:rPr>
          <w:rFonts w:ascii="Times New Roman" w:eastAsia="Times New Roman" w:hAnsi="Times New Roman" w:cs="Times New Roman"/>
          <w:b/>
          <w:bCs/>
          <w:color w:val="000000"/>
          <w:sz w:val="24"/>
          <w:szCs w:val="24"/>
        </w:rPr>
      </w:pPr>
      <w:bookmarkStart w:id="173" w:name="_Toc235800247"/>
      <w:r w:rsidRPr="009B13F9">
        <w:rPr>
          <w:rFonts w:ascii="Times New Roman" w:eastAsia="Times New Roman" w:hAnsi="Times New Roman" w:cs="Times New Roman"/>
          <w:b/>
          <w:bCs/>
          <w:color w:val="000000"/>
          <w:sz w:val="24"/>
          <w:szCs w:val="24"/>
        </w:rPr>
        <w:lastRenderedPageBreak/>
        <w:t>Table A3</w:t>
      </w:r>
      <w:bookmarkEnd w:id="173"/>
    </w:p>
    <w:p w14:paraId="2445990B" w14:textId="77777777" w:rsidR="003D5428" w:rsidRPr="009B13F9" w:rsidRDefault="00000000" w:rsidP="009B13F9">
      <w:pPr>
        <w:spacing w:after="24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i/>
          <w:iCs/>
          <w:sz w:val="24"/>
          <w:szCs w:val="24"/>
        </w:rPr>
        <w:t>Demographic Characteristics of Focus Group Participants (n = 4)</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3D5428" w:rsidRPr="009B13F9" w14:paraId="014830C1" w14:textId="77777777">
        <w:tc>
          <w:tcPr>
            <w:tcW w:w="2340" w:type="dxa"/>
            <w:tcMar>
              <w:top w:w="100" w:type="dxa"/>
              <w:left w:w="100" w:type="dxa"/>
              <w:bottom w:w="100" w:type="dxa"/>
              <w:right w:w="100" w:type="dxa"/>
            </w:tcMar>
          </w:tcPr>
          <w:p w14:paraId="1D0CF01F"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Academic Year</w:t>
            </w:r>
          </w:p>
        </w:tc>
        <w:tc>
          <w:tcPr>
            <w:tcW w:w="2340" w:type="dxa"/>
            <w:tcMar>
              <w:top w:w="100" w:type="dxa"/>
              <w:left w:w="100" w:type="dxa"/>
              <w:bottom w:w="100" w:type="dxa"/>
              <w:right w:w="100" w:type="dxa"/>
            </w:tcMar>
          </w:tcPr>
          <w:p w14:paraId="1464A6C9"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Country of Origin</w:t>
            </w:r>
          </w:p>
        </w:tc>
        <w:tc>
          <w:tcPr>
            <w:tcW w:w="2340" w:type="dxa"/>
            <w:tcMar>
              <w:top w:w="100" w:type="dxa"/>
              <w:left w:w="100" w:type="dxa"/>
              <w:bottom w:w="100" w:type="dxa"/>
              <w:right w:w="100" w:type="dxa"/>
            </w:tcMar>
          </w:tcPr>
          <w:p w14:paraId="745F3878"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Mode of Attendance</w:t>
            </w:r>
          </w:p>
        </w:tc>
        <w:tc>
          <w:tcPr>
            <w:tcW w:w="2340" w:type="dxa"/>
            <w:tcMar>
              <w:top w:w="100" w:type="dxa"/>
              <w:left w:w="100" w:type="dxa"/>
              <w:bottom w:w="100" w:type="dxa"/>
              <w:right w:w="100" w:type="dxa"/>
            </w:tcMar>
          </w:tcPr>
          <w:p w14:paraId="0406506E"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Number of Participants</w:t>
            </w:r>
          </w:p>
        </w:tc>
      </w:tr>
      <w:tr w:rsidR="003D5428" w:rsidRPr="009B13F9" w14:paraId="23BEFF4E" w14:textId="77777777">
        <w:tc>
          <w:tcPr>
            <w:tcW w:w="2340" w:type="dxa"/>
            <w:tcMar>
              <w:top w:w="100" w:type="dxa"/>
              <w:left w:w="100" w:type="dxa"/>
              <w:bottom w:w="100" w:type="dxa"/>
              <w:right w:w="100" w:type="dxa"/>
            </w:tcMar>
          </w:tcPr>
          <w:p w14:paraId="498316B5"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 xml:space="preserve">Second Year </w:t>
            </w:r>
            <w:r w:rsidRPr="009B13F9">
              <w:rPr>
                <w:rFonts w:ascii="Times New Roman" w:eastAsia="Times New Roman" w:hAnsi="Times New Roman" w:cs="Times New Roman"/>
                <w:sz w:val="24"/>
                <w:szCs w:val="24"/>
              </w:rPr>
              <w:t>(n=4)</w:t>
            </w:r>
          </w:p>
        </w:tc>
        <w:tc>
          <w:tcPr>
            <w:tcW w:w="2340" w:type="dxa"/>
            <w:tcMar>
              <w:top w:w="100" w:type="dxa"/>
              <w:left w:w="100" w:type="dxa"/>
              <w:bottom w:w="100" w:type="dxa"/>
              <w:right w:w="100" w:type="dxa"/>
            </w:tcMar>
          </w:tcPr>
          <w:p w14:paraId="450AF93E"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2340" w:type="dxa"/>
            <w:tcMar>
              <w:top w:w="100" w:type="dxa"/>
              <w:left w:w="100" w:type="dxa"/>
              <w:bottom w:w="100" w:type="dxa"/>
              <w:right w:w="100" w:type="dxa"/>
            </w:tcMar>
          </w:tcPr>
          <w:p w14:paraId="51089C82"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52691106"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w:t>
            </w:r>
          </w:p>
        </w:tc>
      </w:tr>
      <w:tr w:rsidR="003D5428" w:rsidRPr="009B13F9" w14:paraId="79513DB1" w14:textId="77777777">
        <w:tc>
          <w:tcPr>
            <w:tcW w:w="2340" w:type="dxa"/>
            <w:tcMar>
              <w:top w:w="100" w:type="dxa"/>
              <w:left w:w="100" w:type="dxa"/>
              <w:bottom w:w="100" w:type="dxa"/>
              <w:right w:w="100" w:type="dxa"/>
            </w:tcMar>
          </w:tcPr>
          <w:p w14:paraId="71550AEE" w14:textId="77777777" w:rsidR="003D5428" w:rsidRPr="009B13F9" w:rsidRDefault="003D5428" w:rsidP="009B13F9">
            <w:pPr>
              <w:widowControl w:val="0"/>
              <w:spacing w:line="480" w:lineRule="auto"/>
              <w:rPr>
                <w:rFonts w:ascii="Times New Roman" w:eastAsia="Times New Roman" w:hAnsi="Times New Roman" w:cs="Times New Roman"/>
                <w:sz w:val="24"/>
                <w:szCs w:val="24"/>
              </w:rPr>
            </w:pPr>
          </w:p>
        </w:tc>
        <w:tc>
          <w:tcPr>
            <w:tcW w:w="2340" w:type="dxa"/>
            <w:tcMar>
              <w:top w:w="100" w:type="dxa"/>
              <w:left w:w="100" w:type="dxa"/>
              <w:bottom w:w="100" w:type="dxa"/>
              <w:right w:w="100" w:type="dxa"/>
            </w:tcMar>
          </w:tcPr>
          <w:p w14:paraId="6691441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w:t>
            </w:r>
          </w:p>
        </w:tc>
        <w:tc>
          <w:tcPr>
            <w:tcW w:w="2340" w:type="dxa"/>
            <w:tcMar>
              <w:top w:w="100" w:type="dxa"/>
              <w:left w:w="100" w:type="dxa"/>
              <w:bottom w:w="100" w:type="dxa"/>
              <w:right w:w="100" w:type="dxa"/>
            </w:tcMar>
          </w:tcPr>
          <w:p w14:paraId="6DEF363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0D00F8B0"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w:t>
            </w:r>
          </w:p>
        </w:tc>
      </w:tr>
      <w:tr w:rsidR="003D5428" w:rsidRPr="009B13F9" w14:paraId="3D7F63B7" w14:textId="77777777">
        <w:tc>
          <w:tcPr>
            <w:tcW w:w="2340" w:type="dxa"/>
            <w:tcMar>
              <w:top w:w="100" w:type="dxa"/>
              <w:left w:w="100" w:type="dxa"/>
              <w:bottom w:w="100" w:type="dxa"/>
              <w:right w:w="100" w:type="dxa"/>
            </w:tcMar>
          </w:tcPr>
          <w:p w14:paraId="3CB8B3A0" w14:textId="77777777" w:rsidR="003D5428" w:rsidRPr="009B13F9" w:rsidRDefault="003D5428" w:rsidP="009B13F9">
            <w:pPr>
              <w:widowControl w:val="0"/>
              <w:spacing w:line="480" w:lineRule="auto"/>
              <w:rPr>
                <w:rFonts w:ascii="Times New Roman" w:eastAsia="Times New Roman" w:hAnsi="Times New Roman" w:cs="Times New Roman"/>
                <w:sz w:val="24"/>
                <w:szCs w:val="24"/>
              </w:rPr>
            </w:pPr>
          </w:p>
        </w:tc>
        <w:tc>
          <w:tcPr>
            <w:tcW w:w="2340" w:type="dxa"/>
            <w:tcMar>
              <w:top w:w="100" w:type="dxa"/>
              <w:left w:w="100" w:type="dxa"/>
              <w:bottom w:w="100" w:type="dxa"/>
              <w:right w:w="100" w:type="dxa"/>
            </w:tcMar>
          </w:tcPr>
          <w:p w14:paraId="14CFD293"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 (Written Response)</w:t>
            </w:r>
          </w:p>
        </w:tc>
        <w:tc>
          <w:tcPr>
            <w:tcW w:w="2340" w:type="dxa"/>
            <w:tcMar>
              <w:top w:w="100" w:type="dxa"/>
              <w:left w:w="100" w:type="dxa"/>
              <w:bottom w:w="100" w:type="dxa"/>
              <w:right w:w="100" w:type="dxa"/>
            </w:tcMar>
          </w:tcPr>
          <w:p w14:paraId="03CE15E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2340" w:type="dxa"/>
            <w:tcMar>
              <w:top w:w="100" w:type="dxa"/>
              <w:left w:w="100" w:type="dxa"/>
              <w:bottom w:w="100" w:type="dxa"/>
              <w:right w:w="100" w:type="dxa"/>
            </w:tcMar>
          </w:tcPr>
          <w:p w14:paraId="142A800E"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w:t>
            </w:r>
          </w:p>
        </w:tc>
      </w:tr>
      <w:tr w:rsidR="003D5428" w:rsidRPr="009B13F9" w14:paraId="45BE5868" w14:textId="77777777">
        <w:tc>
          <w:tcPr>
            <w:tcW w:w="2340" w:type="dxa"/>
            <w:tcMar>
              <w:top w:w="100" w:type="dxa"/>
              <w:left w:w="100" w:type="dxa"/>
              <w:bottom w:w="100" w:type="dxa"/>
              <w:right w:w="100" w:type="dxa"/>
            </w:tcMar>
          </w:tcPr>
          <w:p w14:paraId="5B213A05"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Total</w:t>
            </w:r>
          </w:p>
        </w:tc>
        <w:tc>
          <w:tcPr>
            <w:tcW w:w="2340" w:type="dxa"/>
            <w:tcMar>
              <w:top w:w="100" w:type="dxa"/>
              <w:left w:w="100" w:type="dxa"/>
              <w:bottom w:w="100" w:type="dxa"/>
              <w:right w:w="100" w:type="dxa"/>
            </w:tcMar>
          </w:tcPr>
          <w:p w14:paraId="24BBCA27" w14:textId="77777777" w:rsidR="003D5428" w:rsidRPr="009B13F9" w:rsidRDefault="003D5428" w:rsidP="009B13F9">
            <w:pPr>
              <w:widowControl w:val="0"/>
              <w:spacing w:line="480" w:lineRule="auto"/>
              <w:rPr>
                <w:rFonts w:ascii="Times New Roman" w:eastAsia="Times New Roman" w:hAnsi="Times New Roman" w:cs="Times New Roman"/>
                <w:sz w:val="24"/>
                <w:szCs w:val="24"/>
              </w:rPr>
            </w:pPr>
          </w:p>
        </w:tc>
        <w:tc>
          <w:tcPr>
            <w:tcW w:w="2340" w:type="dxa"/>
            <w:tcMar>
              <w:top w:w="100" w:type="dxa"/>
              <w:left w:w="100" w:type="dxa"/>
              <w:bottom w:w="100" w:type="dxa"/>
              <w:right w:w="100" w:type="dxa"/>
            </w:tcMar>
          </w:tcPr>
          <w:p w14:paraId="53470911" w14:textId="77777777" w:rsidR="003D5428" w:rsidRPr="009B13F9" w:rsidRDefault="003D5428" w:rsidP="009B13F9">
            <w:pPr>
              <w:widowControl w:val="0"/>
              <w:spacing w:line="480" w:lineRule="auto"/>
              <w:rPr>
                <w:rFonts w:ascii="Times New Roman" w:eastAsia="Times New Roman" w:hAnsi="Times New Roman" w:cs="Times New Roman"/>
                <w:sz w:val="24"/>
                <w:szCs w:val="24"/>
              </w:rPr>
            </w:pPr>
          </w:p>
        </w:tc>
        <w:tc>
          <w:tcPr>
            <w:tcW w:w="2340" w:type="dxa"/>
            <w:tcMar>
              <w:top w:w="100" w:type="dxa"/>
              <w:left w:w="100" w:type="dxa"/>
              <w:bottom w:w="100" w:type="dxa"/>
              <w:right w:w="100" w:type="dxa"/>
            </w:tcMar>
          </w:tcPr>
          <w:p w14:paraId="6733B547"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4</w:t>
            </w:r>
          </w:p>
        </w:tc>
      </w:tr>
    </w:tbl>
    <w:p w14:paraId="67085C4F" w14:textId="77777777" w:rsidR="002F3B2B" w:rsidRPr="009B13F9" w:rsidRDefault="002F3B2B" w:rsidP="009B13F9">
      <w:pPr>
        <w:pStyle w:val="Heading1"/>
        <w:keepNext w:val="0"/>
        <w:keepLines w:val="0"/>
        <w:spacing w:before="280" w:line="480" w:lineRule="auto"/>
        <w:ind w:left="720"/>
        <w:jc w:val="center"/>
        <w:rPr>
          <w:rFonts w:ascii="Times New Roman" w:eastAsia="Times New Roman" w:hAnsi="Times New Roman" w:cs="Times New Roman"/>
          <w:b/>
          <w:bCs/>
          <w:sz w:val="24"/>
          <w:szCs w:val="24"/>
        </w:rPr>
      </w:pPr>
      <w:bookmarkStart w:id="174" w:name="_3pcp9i7k92ug" w:colFirst="0" w:colLast="0"/>
      <w:bookmarkEnd w:id="174"/>
    </w:p>
    <w:p w14:paraId="572DB855" w14:textId="77777777" w:rsidR="002F3B2B" w:rsidRPr="009B13F9" w:rsidRDefault="002F3B2B" w:rsidP="009B13F9">
      <w:pPr>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br w:type="page"/>
      </w:r>
    </w:p>
    <w:p w14:paraId="32527209" w14:textId="46CA3A5C" w:rsidR="003D5428" w:rsidRPr="009B13F9" w:rsidRDefault="00000000" w:rsidP="009B13F9">
      <w:pPr>
        <w:pStyle w:val="Heading1"/>
        <w:spacing w:line="480" w:lineRule="auto"/>
        <w:jc w:val="center"/>
        <w:rPr>
          <w:rFonts w:ascii="Times New Roman" w:eastAsia="Times New Roman" w:hAnsi="Times New Roman" w:cs="Times New Roman"/>
          <w:b/>
          <w:bCs/>
          <w:sz w:val="24"/>
          <w:szCs w:val="24"/>
        </w:rPr>
      </w:pPr>
      <w:bookmarkStart w:id="175" w:name="_Toc235800248"/>
      <w:r w:rsidRPr="009B13F9">
        <w:rPr>
          <w:rFonts w:ascii="Times New Roman" w:eastAsia="Times New Roman" w:hAnsi="Times New Roman" w:cs="Times New Roman"/>
          <w:b/>
          <w:bCs/>
          <w:sz w:val="24"/>
          <w:szCs w:val="24"/>
        </w:rPr>
        <w:lastRenderedPageBreak/>
        <w:t>Appendix B</w:t>
      </w:r>
      <w:bookmarkEnd w:id="175"/>
    </w:p>
    <w:p w14:paraId="1FED9E76" w14:textId="77777777" w:rsidR="003D5428" w:rsidRPr="009B13F9" w:rsidRDefault="00000000" w:rsidP="009B13F9">
      <w:pPr>
        <w:pStyle w:val="Heading3"/>
        <w:keepNext w:val="0"/>
        <w:keepLines w:val="0"/>
        <w:spacing w:before="0" w:line="480" w:lineRule="auto"/>
        <w:rPr>
          <w:rFonts w:ascii="Times New Roman" w:eastAsia="Times New Roman" w:hAnsi="Times New Roman" w:cs="Times New Roman"/>
          <w:b/>
          <w:bCs/>
          <w:color w:val="000000"/>
          <w:sz w:val="24"/>
          <w:szCs w:val="24"/>
        </w:rPr>
      </w:pPr>
      <w:bookmarkStart w:id="176" w:name="_i04w7komwy8c" w:colFirst="0" w:colLast="0"/>
      <w:bookmarkStart w:id="177" w:name="_Toc235800249"/>
      <w:bookmarkEnd w:id="176"/>
      <w:r w:rsidRPr="009B13F9">
        <w:rPr>
          <w:rFonts w:ascii="Times New Roman" w:eastAsia="Times New Roman" w:hAnsi="Times New Roman" w:cs="Times New Roman"/>
          <w:b/>
          <w:bCs/>
          <w:color w:val="000000"/>
          <w:sz w:val="24"/>
          <w:szCs w:val="24"/>
        </w:rPr>
        <w:t>Table B1</w:t>
      </w:r>
      <w:bookmarkEnd w:id="177"/>
    </w:p>
    <w:p w14:paraId="79E4CA83" w14:textId="1E7C9F57" w:rsidR="003D5428" w:rsidRPr="009B13F9" w:rsidRDefault="00000000" w:rsidP="009B13F9">
      <w:pPr>
        <w:spacing w:after="24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i/>
          <w:iCs/>
          <w:sz w:val="24"/>
          <w:szCs w:val="24"/>
        </w:rPr>
        <w:t>Demographic Characteristics and National Backgrounds of the Population (N = 5</w:t>
      </w:r>
      <w:r w:rsidR="005269A6" w:rsidRPr="009B13F9">
        <w:rPr>
          <w:rFonts w:ascii="Times New Roman" w:eastAsia="Times New Roman" w:hAnsi="Times New Roman" w:cs="Times New Roman"/>
          <w:i/>
          <w:iCs/>
          <w:sz w:val="24"/>
          <w:szCs w:val="24"/>
        </w:rPr>
        <w:t>3</w:t>
      </w:r>
      <w:r w:rsidRPr="009B13F9">
        <w:rPr>
          <w:rFonts w:ascii="Times New Roman" w:eastAsia="Times New Roman" w:hAnsi="Times New Roman" w:cs="Times New Roman"/>
          <w:i/>
          <w:iCs/>
          <w:sz w:val="24"/>
          <w:szCs w:val="24"/>
        </w:rPr>
        <w:t>)</w:t>
      </w: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3D5428" w:rsidRPr="009B13F9" w14:paraId="56361622" w14:textId="77777777">
        <w:tc>
          <w:tcPr>
            <w:tcW w:w="3120" w:type="dxa"/>
            <w:tcMar>
              <w:top w:w="100" w:type="dxa"/>
              <w:left w:w="100" w:type="dxa"/>
              <w:bottom w:w="100" w:type="dxa"/>
              <w:right w:w="100" w:type="dxa"/>
            </w:tcMar>
          </w:tcPr>
          <w:p w14:paraId="593A05E4"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Academic Cohort</w:t>
            </w:r>
          </w:p>
        </w:tc>
        <w:tc>
          <w:tcPr>
            <w:tcW w:w="3120" w:type="dxa"/>
            <w:tcMar>
              <w:top w:w="100" w:type="dxa"/>
              <w:left w:w="100" w:type="dxa"/>
              <w:bottom w:w="100" w:type="dxa"/>
              <w:right w:w="100" w:type="dxa"/>
            </w:tcMar>
          </w:tcPr>
          <w:p w14:paraId="2200D0E0"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Nationality</w:t>
            </w:r>
          </w:p>
        </w:tc>
        <w:tc>
          <w:tcPr>
            <w:tcW w:w="3120" w:type="dxa"/>
            <w:tcMar>
              <w:top w:w="100" w:type="dxa"/>
              <w:left w:w="100" w:type="dxa"/>
              <w:bottom w:w="100" w:type="dxa"/>
              <w:right w:w="100" w:type="dxa"/>
            </w:tcMar>
          </w:tcPr>
          <w:p w14:paraId="1459DB13"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Number of Students (n)</w:t>
            </w:r>
          </w:p>
        </w:tc>
      </w:tr>
      <w:tr w:rsidR="003D5428" w:rsidRPr="009B13F9" w14:paraId="2C2CABEF" w14:textId="77777777">
        <w:tc>
          <w:tcPr>
            <w:tcW w:w="3120" w:type="dxa"/>
            <w:tcMar>
              <w:top w:w="100" w:type="dxa"/>
              <w:left w:w="100" w:type="dxa"/>
              <w:bottom w:w="100" w:type="dxa"/>
              <w:right w:w="100" w:type="dxa"/>
            </w:tcMar>
          </w:tcPr>
          <w:p w14:paraId="73FBF2F6"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First Year Cohort</w:t>
            </w:r>
            <w:r w:rsidRPr="009B13F9">
              <w:rPr>
                <w:rFonts w:ascii="Times New Roman" w:eastAsia="Times New Roman" w:hAnsi="Times New Roman" w:cs="Times New Roman"/>
                <w:sz w:val="24"/>
                <w:szCs w:val="24"/>
              </w:rPr>
              <w:t xml:space="preserve"> (n=27)</w:t>
            </w:r>
          </w:p>
        </w:tc>
        <w:tc>
          <w:tcPr>
            <w:tcW w:w="3120" w:type="dxa"/>
            <w:tcMar>
              <w:top w:w="100" w:type="dxa"/>
              <w:left w:w="100" w:type="dxa"/>
              <w:bottom w:w="100" w:type="dxa"/>
              <w:right w:w="100" w:type="dxa"/>
            </w:tcMar>
          </w:tcPr>
          <w:p w14:paraId="23A4B4B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3120" w:type="dxa"/>
            <w:tcMar>
              <w:top w:w="100" w:type="dxa"/>
              <w:left w:w="100" w:type="dxa"/>
              <w:bottom w:w="100" w:type="dxa"/>
              <w:right w:w="100" w:type="dxa"/>
            </w:tcMar>
          </w:tcPr>
          <w:p w14:paraId="00B49E6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15</w:t>
            </w:r>
          </w:p>
        </w:tc>
      </w:tr>
      <w:tr w:rsidR="003D5428" w:rsidRPr="009B13F9" w14:paraId="4F1B4FEB" w14:textId="77777777">
        <w:tc>
          <w:tcPr>
            <w:tcW w:w="3120" w:type="dxa"/>
            <w:tcMar>
              <w:top w:w="100" w:type="dxa"/>
              <w:left w:w="100" w:type="dxa"/>
              <w:bottom w:w="100" w:type="dxa"/>
              <w:right w:w="100" w:type="dxa"/>
            </w:tcMar>
          </w:tcPr>
          <w:p w14:paraId="48CCA83F" w14:textId="77777777" w:rsidR="003D5428" w:rsidRPr="009B13F9" w:rsidRDefault="003D5428" w:rsidP="009B13F9">
            <w:pPr>
              <w:widowControl w:val="0"/>
              <w:spacing w:line="480" w:lineRule="auto"/>
              <w:rPr>
                <w:rFonts w:ascii="Times New Roman" w:eastAsia="Times New Roman" w:hAnsi="Times New Roman" w:cs="Times New Roman"/>
                <w:sz w:val="24"/>
                <w:szCs w:val="24"/>
              </w:rPr>
            </w:pPr>
          </w:p>
        </w:tc>
        <w:tc>
          <w:tcPr>
            <w:tcW w:w="3120" w:type="dxa"/>
            <w:tcMar>
              <w:top w:w="100" w:type="dxa"/>
              <w:left w:w="100" w:type="dxa"/>
              <w:bottom w:w="100" w:type="dxa"/>
              <w:right w:w="100" w:type="dxa"/>
            </w:tcMar>
          </w:tcPr>
          <w:p w14:paraId="6E5F559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w:t>
            </w:r>
          </w:p>
        </w:tc>
        <w:tc>
          <w:tcPr>
            <w:tcW w:w="3120" w:type="dxa"/>
            <w:tcMar>
              <w:top w:w="100" w:type="dxa"/>
              <w:left w:w="100" w:type="dxa"/>
              <w:bottom w:w="100" w:type="dxa"/>
              <w:right w:w="100" w:type="dxa"/>
            </w:tcMar>
          </w:tcPr>
          <w:p w14:paraId="5A64263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8</w:t>
            </w:r>
          </w:p>
        </w:tc>
      </w:tr>
      <w:tr w:rsidR="003D5428" w:rsidRPr="009B13F9" w14:paraId="04A8AFA5" w14:textId="77777777">
        <w:tc>
          <w:tcPr>
            <w:tcW w:w="3120" w:type="dxa"/>
            <w:tcMar>
              <w:top w:w="100" w:type="dxa"/>
              <w:left w:w="100" w:type="dxa"/>
              <w:bottom w:w="100" w:type="dxa"/>
              <w:right w:w="100" w:type="dxa"/>
            </w:tcMar>
          </w:tcPr>
          <w:p w14:paraId="65D5C3D5" w14:textId="77777777" w:rsidR="003D5428" w:rsidRPr="009B13F9" w:rsidRDefault="003D5428" w:rsidP="009B13F9">
            <w:pPr>
              <w:widowControl w:val="0"/>
              <w:spacing w:line="480" w:lineRule="auto"/>
              <w:rPr>
                <w:rFonts w:ascii="Times New Roman" w:eastAsia="Times New Roman" w:hAnsi="Times New Roman" w:cs="Times New Roman"/>
                <w:sz w:val="24"/>
                <w:szCs w:val="24"/>
              </w:rPr>
            </w:pPr>
          </w:p>
        </w:tc>
        <w:tc>
          <w:tcPr>
            <w:tcW w:w="3120" w:type="dxa"/>
            <w:tcMar>
              <w:top w:w="100" w:type="dxa"/>
              <w:left w:w="100" w:type="dxa"/>
              <w:bottom w:w="100" w:type="dxa"/>
              <w:right w:w="100" w:type="dxa"/>
            </w:tcMar>
          </w:tcPr>
          <w:p w14:paraId="54C6BDE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Rohingya</w:t>
            </w:r>
          </w:p>
        </w:tc>
        <w:tc>
          <w:tcPr>
            <w:tcW w:w="3120" w:type="dxa"/>
            <w:tcMar>
              <w:top w:w="100" w:type="dxa"/>
              <w:left w:w="100" w:type="dxa"/>
              <w:bottom w:w="100" w:type="dxa"/>
              <w:right w:w="100" w:type="dxa"/>
            </w:tcMar>
          </w:tcPr>
          <w:p w14:paraId="677167D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w:t>
            </w:r>
          </w:p>
        </w:tc>
      </w:tr>
      <w:tr w:rsidR="003D5428" w:rsidRPr="009B13F9" w14:paraId="75B78F38" w14:textId="77777777">
        <w:tc>
          <w:tcPr>
            <w:tcW w:w="3120" w:type="dxa"/>
            <w:tcMar>
              <w:top w:w="100" w:type="dxa"/>
              <w:left w:w="100" w:type="dxa"/>
              <w:bottom w:w="100" w:type="dxa"/>
              <w:right w:w="100" w:type="dxa"/>
            </w:tcMar>
          </w:tcPr>
          <w:p w14:paraId="566703F0" w14:textId="77777777" w:rsidR="003D5428" w:rsidRPr="009B13F9" w:rsidRDefault="003D5428" w:rsidP="009B13F9">
            <w:pPr>
              <w:widowControl w:val="0"/>
              <w:spacing w:line="480" w:lineRule="auto"/>
              <w:rPr>
                <w:rFonts w:ascii="Times New Roman" w:eastAsia="Times New Roman" w:hAnsi="Times New Roman" w:cs="Times New Roman"/>
                <w:sz w:val="24"/>
                <w:szCs w:val="24"/>
              </w:rPr>
            </w:pPr>
          </w:p>
        </w:tc>
        <w:tc>
          <w:tcPr>
            <w:tcW w:w="3120" w:type="dxa"/>
            <w:tcMar>
              <w:top w:w="100" w:type="dxa"/>
              <w:left w:w="100" w:type="dxa"/>
              <w:bottom w:w="100" w:type="dxa"/>
              <w:right w:w="100" w:type="dxa"/>
            </w:tcMar>
          </w:tcPr>
          <w:p w14:paraId="490EF47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Pakistan</w:t>
            </w:r>
          </w:p>
        </w:tc>
        <w:tc>
          <w:tcPr>
            <w:tcW w:w="3120" w:type="dxa"/>
            <w:tcMar>
              <w:top w:w="100" w:type="dxa"/>
              <w:left w:w="100" w:type="dxa"/>
              <w:bottom w:w="100" w:type="dxa"/>
              <w:right w:w="100" w:type="dxa"/>
            </w:tcMar>
          </w:tcPr>
          <w:p w14:paraId="5DC550B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w:t>
            </w:r>
          </w:p>
        </w:tc>
      </w:tr>
      <w:tr w:rsidR="003D5428" w:rsidRPr="009B13F9" w14:paraId="3671CE5A" w14:textId="77777777">
        <w:tc>
          <w:tcPr>
            <w:tcW w:w="3120" w:type="dxa"/>
            <w:tcMar>
              <w:top w:w="100" w:type="dxa"/>
              <w:left w:w="100" w:type="dxa"/>
              <w:bottom w:w="100" w:type="dxa"/>
              <w:right w:w="100" w:type="dxa"/>
            </w:tcMar>
          </w:tcPr>
          <w:p w14:paraId="1DFE3D66" w14:textId="77777777" w:rsidR="003D5428" w:rsidRPr="009B13F9" w:rsidRDefault="003D5428" w:rsidP="009B13F9">
            <w:pPr>
              <w:widowControl w:val="0"/>
              <w:spacing w:line="480" w:lineRule="auto"/>
              <w:rPr>
                <w:rFonts w:ascii="Times New Roman" w:eastAsia="Times New Roman" w:hAnsi="Times New Roman" w:cs="Times New Roman"/>
                <w:sz w:val="24"/>
                <w:szCs w:val="24"/>
              </w:rPr>
            </w:pPr>
          </w:p>
        </w:tc>
        <w:tc>
          <w:tcPr>
            <w:tcW w:w="3120" w:type="dxa"/>
            <w:tcMar>
              <w:top w:w="100" w:type="dxa"/>
              <w:left w:w="100" w:type="dxa"/>
              <w:bottom w:w="100" w:type="dxa"/>
              <w:right w:w="100" w:type="dxa"/>
            </w:tcMar>
          </w:tcPr>
          <w:p w14:paraId="3D8634D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Vietnam</w:t>
            </w:r>
          </w:p>
        </w:tc>
        <w:tc>
          <w:tcPr>
            <w:tcW w:w="3120" w:type="dxa"/>
            <w:tcMar>
              <w:top w:w="100" w:type="dxa"/>
              <w:left w:w="100" w:type="dxa"/>
              <w:bottom w:w="100" w:type="dxa"/>
              <w:right w:w="100" w:type="dxa"/>
            </w:tcMar>
          </w:tcPr>
          <w:p w14:paraId="60A509B2"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w:t>
            </w:r>
          </w:p>
        </w:tc>
      </w:tr>
      <w:tr w:rsidR="003D5428" w:rsidRPr="009B13F9" w14:paraId="209C520A" w14:textId="77777777">
        <w:tc>
          <w:tcPr>
            <w:tcW w:w="3120" w:type="dxa"/>
            <w:tcMar>
              <w:top w:w="100" w:type="dxa"/>
              <w:left w:w="100" w:type="dxa"/>
              <w:bottom w:w="100" w:type="dxa"/>
              <w:right w:w="100" w:type="dxa"/>
            </w:tcMar>
          </w:tcPr>
          <w:p w14:paraId="4706209F" w14:textId="2DF2834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Second Year Cohort</w:t>
            </w:r>
            <w:r w:rsidRPr="009B13F9">
              <w:rPr>
                <w:rFonts w:ascii="Times New Roman" w:eastAsia="Times New Roman" w:hAnsi="Times New Roman" w:cs="Times New Roman"/>
                <w:sz w:val="24"/>
                <w:szCs w:val="24"/>
              </w:rPr>
              <w:t xml:space="preserve"> (n=2</w:t>
            </w:r>
            <w:r w:rsidR="005269A6" w:rsidRPr="009B13F9">
              <w:rPr>
                <w:rFonts w:ascii="Times New Roman" w:eastAsia="Times New Roman" w:hAnsi="Times New Roman" w:cs="Times New Roman"/>
                <w:sz w:val="24"/>
                <w:szCs w:val="24"/>
              </w:rPr>
              <w:t>6</w:t>
            </w:r>
            <w:r w:rsidRPr="009B13F9">
              <w:rPr>
                <w:rFonts w:ascii="Times New Roman" w:eastAsia="Times New Roman" w:hAnsi="Times New Roman" w:cs="Times New Roman"/>
                <w:sz w:val="24"/>
                <w:szCs w:val="24"/>
              </w:rPr>
              <w:t>)</w:t>
            </w:r>
          </w:p>
        </w:tc>
        <w:tc>
          <w:tcPr>
            <w:tcW w:w="3120" w:type="dxa"/>
            <w:tcMar>
              <w:top w:w="100" w:type="dxa"/>
              <w:left w:w="100" w:type="dxa"/>
              <w:bottom w:w="100" w:type="dxa"/>
              <w:right w:w="100" w:type="dxa"/>
            </w:tcMar>
          </w:tcPr>
          <w:p w14:paraId="511E4A0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w:t>
            </w:r>
          </w:p>
        </w:tc>
        <w:tc>
          <w:tcPr>
            <w:tcW w:w="3120" w:type="dxa"/>
            <w:tcMar>
              <w:top w:w="100" w:type="dxa"/>
              <w:left w:w="100" w:type="dxa"/>
              <w:bottom w:w="100" w:type="dxa"/>
              <w:right w:w="100" w:type="dxa"/>
            </w:tcMar>
          </w:tcPr>
          <w:p w14:paraId="1209E4D4" w14:textId="4B0D9481"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w:t>
            </w:r>
            <w:r w:rsidR="005269A6" w:rsidRPr="009B13F9">
              <w:rPr>
                <w:rFonts w:ascii="Times New Roman" w:eastAsia="Times New Roman" w:hAnsi="Times New Roman" w:cs="Times New Roman"/>
                <w:sz w:val="24"/>
                <w:szCs w:val="24"/>
              </w:rPr>
              <w:t>3</w:t>
            </w:r>
          </w:p>
        </w:tc>
      </w:tr>
      <w:tr w:rsidR="003D5428" w:rsidRPr="009B13F9" w14:paraId="2BF3B4DF" w14:textId="77777777">
        <w:tc>
          <w:tcPr>
            <w:tcW w:w="3120" w:type="dxa"/>
            <w:tcMar>
              <w:top w:w="100" w:type="dxa"/>
              <w:left w:w="100" w:type="dxa"/>
              <w:bottom w:w="100" w:type="dxa"/>
              <w:right w:w="100" w:type="dxa"/>
            </w:tcMar>
          </w:tcPr>
          <w:p w14:paraId="280405E0" w14:textId="77777777" w:rsidR="003D5428" w:rsidRPr="009B13F9" w:rsidRDefault="003D5428" w:rsidP="009B13F9">
            <w:pPr>
              <w:widowControl w:val="0"/>
              <w:spacing w:line="480" w:lineRule="auto"/>
              <w:rPr>
                <w:rFonts w:ascii="Times New Roman" w:eastAsia="Times New Roman" w:hAnsi="Times New Roman" w:cs="Times New Roman"/>
                <w:b/>
                <w:bCs/>
                <w:sz w:val="24"/>
                <w:szCs w:val="24"/>
              </w:rPr>
            </w:pPr>
          </w:p>
        </w:tc>
        <w:tc>
          <w:tcPr>
            <w:tcW w:w="3120" w:type="dxa"/>
            <w:tcMar>
              <w:top w:w="100" w:type="dxa"/>
              <w:left w:w="100" w:type="dxa"/>
              <w:bottom w:w="100" w:type="dxa"/>
              <w:right w:w="100" w:type="dxa"/>
            </w:tcMar>
          </w:tcPr>
          <w:p w14:paraId="3D623DB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3120" w:type="dxa"/>
            <w:tcMar>
              <w:top w:w="100" w:type="dxa"/>
              <w:left w:w="100" w:type="dxa"/>
              <w:bottom w:w="100" w:type="dxa"/>
              <w:right w:w="100" w:type="dxa"/>
            </w:tcMar>
          </w:tcPr>
          <w:p w14:paraId="7CE65910"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9</w:t>
            </w:r>
          </w:p>
        </w:tc>
      </w:tr>
      <w:tr w:rsidR="003D5428" w:rsidRPr="009B13F9" w14:paraId="38D5ECE9" w14:textId="77777777">
        <w:tc>
          <w:tcPr>
            <w:tcW w:w="3120" w:type="dxa"/>
            <w:tcMar>
              <w:top w:w="100" w:type="dxa"/>
              <w:left w:w="100" w:type="dxa"/>
              <w:bottom w:w="100" w:type="dxa"/>
              <w:right w:w="100" w:type="dxa"/>
            </w:tcMar>
          </w:tcPr>
          <w:p w14:paraId="3F6EA4CE" w14:textId="77777777" w:rsidR="003D5428" w:rsidRPr="009B13F9" w:rsidRDefault="003D5428" w:rsidP="009B13F9">
            <w:pPr>
              <w:widowControl w:val="0"/>
              <w:spacing w:line="480" w:lineRule="auto"/>
              <w:rPr>
                <w:rFonts w:ascii="Times New Roman" w:eastAsia="Times New Roman" w:hAnsi="Times New Roman" w:cs="Times New Roman"/>
                <w:b/>
                <w:bCs/>
                <w:sz w:val="24"/>
                <w:szCs w:val="24"/>
              </w:rPr>
            </w:pPr>
          </w:p>
        </w:tc>
        <w:tc>
          <w:tcPr>
            <w:tcW w:w="3120" w:type="dxa"/>
            <w:tcMar>
              <w:top w:w="100" w:type="dxa"/>
              <w:left w:w="100" w:type="dxa"/>
              <w:bottom w:w="100" w:type="dxa"/>
              <w:right w:w="100" w:type="dxa"/>
            </w:tcMar>
          </w:tcPr>
          <w:p w14:paraId="12B54BDB"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Rohingya</w:t>
            </w:r>
          </w:p>
        </w:tc>
        <w:tc>
          <w:tcPr>
            <w:tcW w:w="3120" w:type="dxa"/>
            <w:tcMar>
              <w:top w:w="100" w:type="dxa"/>
              <w:left w:w="100" w:type="dxa"/>
              <w:bottom w:w="100" w:type="dxa"/>
              <w:right w:w="100" w:type="dxa"/>
            </w:tcMar>
          </w:tcPr>
          <w:p w14:paraId="502BBBF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3</w:t>
            </w:r>
          </w:p>
        </w:tc>
      </w:tr>
      <w:tr w:rsidR="005269A6" w:rsidRPr="009B13F9" w14:paraId="37F6B059" w14:textId="77777777">
        <w:tc>
          <w:tcPr>
            <w:tcW w:w="3120" w:type="dxa"/>
            <w:tcMar>
              <w:top w:w="100" w:type="dxa"/>
              <w:left w:w="100" w:type="dxa"/>
              <w:bottom w:w="100" w:type="dxa"/>
              <w:right w:w="100" w:type="dxa"/>
            </w:tcMar>
          </w:tcPr>
          <w:p w14:paraId="2D1DE744" w14:textId="77777777" w:rsidR="005269A6" w:rsidRPr="009B13F9" w:rsidRDefault="005269A6" w:rsidP="009B13F9">
            <w:pPr>
              <w:widowControl w:val="0"/>
              <w:spacing w:line="480" w:lineRule="auto"/>
              <w:rPr>
                <w:rFonts w:ascii="Times New Roman" w:eastAsia="Times New Roman" w:hAnsi="Times New Roman" w:cs="Times New Roman"/>
                <w:b/>
                <w:bCs/>
                <w:sz w:val="24"/>
                <w:szCs w:val="24"/>
              </w:rPr>
            </w:pPr>
          </w:p>
        </w:tc>
        <w:tc>
          <w:tcPr>
            <w:tcW w:w="3120" w:type="dxa"/>
            <w:tcMar>
              <w:top w:w="100" w:type="dxa"/>
              <w:left w:w="100" w:type="dxa"/>
              <w:bottom w:w="100" w:type="dxa"/>
              <w:right w:w="100" w:type="dxa"/>
            </w:tcMar>
          </w:tcPr>
          <w:p w14:paraId="6F3DF40B" w14:textId="3AA5F490" w:rsidR="005269A6" w:rsidRPr="009B13F9" w:rsidRDefault="005269A6"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Timor-Leste</w:t>
            </w:r>
          </w:p>
        </w:tc>
        <w:tc>
          <w:tcPr>
            <w:tcW w:w="3120" w:type="dxa"/>
            <w:tcMar>
              <w:top w:w="100" w:type="dxa"/>
              <w:left w:w="100" w:type="dxa"/>
              <w:bottom w:w="100" w:type="dxa"/>
              <w:right w:w="100" w:type="dxa"/>
            </w:tcMar>
          </w:tcPr>
          <w:p w14:paraId="36C829C1" w14:textId="0BA3FE00" w:rsidR="005269A6" w:rsidRPr="009B13F9" w:rsidRDefault="005269A6"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w:t>
            </w:r>
          </w:p>
        </w:tc>
      </w:tr>
    </w:tbl>
    <w:p w14:paraId="01EE70C1" w14:textId="77777777" w:rsidR="003D5428" w:rsidRPr="009B13F9" w:rsidRDefault="003D5428" w:rsidP="009B13F9">
      <w:pPr>
        <w:pStyle w:val="Heading3"/>
        <w:keepNext w:val="0"/>
        <w:keepLines w:val="0"/>
        <w:spacing w:before="0" w:line="480" w:lineRule="auto"/>
        <w:rPr>
          <w:rFonts w:ascii="Times New Roman" w:eastAsia="Times New Roman" w:hAnsi="Times New Roman" w:cs="Times New Roman"/>
          <w:b/>
          <w:bCs/>
          <w:color w:val="000000"/>
          <w:sz w:val="24"/>
          <w:szCs w:val="24"/>
        </w:rPr>
      </w:pPr>
      <w:bookmarkStart w:id="178" w:name="_l0abnfqsbxhz" w:colFirst="0" w:colLast="0"/>
      <w:bookmarkEnd w:id="178"/>
    </w:p>
    <w:p w14:paraId="3CCE4AFF" w14:textId="77777777" w:rsidR="002F3B2B" w:rsidRPr="009B13F9" w:rsidRDefault="002F3B2B" w:rsidP="009B13F9">
      <w:pPr>
        <w:spacing w:line="480" w:lineRule="auto"/>
        <w:rPr>
          <w:rFonts w:ascii="Times New Roman" w:eastAsia="Times New Roman" w:hAnsi="Times New Roman" w:cs="Times New Roman"/>
          <w:b/>
          <w:bCs/>
          <w:color w:val="000000"/>
          <w:sz w:val="24"/>
          <w:szCs w:val="24"/>
        </w:rPr>
      </w:pPr>
      <w:bookmarkStart w:id="179" w:name="_qku4rm3c4gus" w:colFirst="0" w:colLast="0"/>
      <w:bookmarkEnd w:id="179"/>
      <w:r w:rsidRPr="009B13F9">
        <w:rPr>
          <w:rFonts w:ascii="Times New Roman" w:eastAsia="Times New Roman" w:hAnsi="Times New Roman" w:cs="Times New Roman"/>
          <w:b/>
          <w:bCs/>
          <w:color w:val="000000"/>
          <w:sz w:val="24"/>
          <w:szCs w:val="24"/>
        </w:rPr>
        <w:br w:type="page"/>
      </w:r>
    </w:p>
    <w:p w14:paraId="336841E1" w14:textId="100577B6" w:rsidR="003D5428" w:rsidRPr="009B13F9" w:rsidRDefault="00000000" w:rsidP="009B13F9">
      <w:pPr>
        <w:pStyle w:val="Heading3"/>
        <w:keepNext w:val="0"/>
        <w:keepLines w:val="0"/>
        <w:spacing w:before="0" w:line="480" w:lineRule="auto"/>
        <w:rPr>
          <w:rFonts w:ascii="Times New Roman" w:eastAsia="Times New Roman" w:hAnsi="Times New Roman" w:cs="Times New Roman"/>
          <w:b/>
          <w:bCs/>
          <w:color w:val="000000"/>
          <w:sz w:val="24"/>
          <w:szCs w:val="24"/>
        </w:rPr>
      </w:pPr>
      <w:bookmarkStart w:id="180" w:name="_Toc235800250"/>
      <w:r w:rsidRPr="009B13F9">
        <w:rPr>
          <w:rFonts w:ascii="Times New Roman" w:eastAsia="Times New Roman" w:hAnsi="Times New Roman" w:cs="Times New Roman"/>
          <w:b/>
          <w:bCs/>
          <w:color w:val="000000"/>
          <w:sz w:val="24"/>
          <w:szCs w:val="24"/>
        </w:rPr>
        <w:lastRenderedPageBreak/>
        <w:t>Table B2</w:t>
      </w:r>
      <w:bookmarkEnd w:id="180"/>
    </w:p>
    <w:p w14:paraId="41B41D32" w14:textId="77777777" w:rsidR="003D5428" w:rsidRPr="009B13F9" w:rsidRDefault="00000000" w:rsidP="009B13F9">
      <w:pPr>
        <w:spacing w:after="24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i/>
          <w:iCs/>
          <w:sz w:val="24"/>
          <w:szCs w:val="24"/>
        </w:rPr>
        <w:t>Demographic Profiles, Pseudonyms, and Methodological Triangulation Matrix of Interview Participants (N = 13)</w:t>
      </w: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170"/>
        <w:gridCol w:w="1170"/>
        <w:gridCol w:w="1170"/>
        <w:gridCol w:w="1170"/>
        <w:gridCol w:w="1170"/>
        <w:gridCol w:w="1170"/>
        <w:gridCol w:w="1170"/>
      </w:tblGrid>
      <w:tr w:rsidR="003D5428" w:rsidRPr="009B13F9" w14:paraId="6794E751" w14:textId="77777777">
        <w:tc>
          <w:tcPr>
            <w:tcW w:w="1170" w:type="dxa"/>
            <w:tcMar>
              <w:top w:w="100" w:type="dxa"/>
              <w:left w:w="100" w:type="dxa"/>
              <w:bottom w:w="100" w:type="dxa"/>
              <w:right w:w="100" w:type="dxa"/>
            </w:tcMar>
          </w:tcPr>
          <w:p w14:paraId="35D0EA72"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Code</w:t>
            </w:r>
          </w:p>
        </w:tc>
        <w:tc>
          <w:tcPr>
            <w:tcW w:w="1170" w:type="dxa"/>
            <w:tcMar>
              <w:top w:w="100" w:type="dxa"/>
              <w:left w:w="100" w:type="dxa"/>
              <w:bottom w:w="100" w:type="dxa"/>
              <w:right w:w="100" w:type="dxa"/>
            </w:tcMar>
          </w:tcPr>
          <w:p w14:paraId="2ABEE4BE"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Pseudonym</w:t>
            </w:r>
          </w:p>
        </w:tc>
        <w:tc>
          <w:tcPr>
            <w:tcW w:w="1170" w:type="dxa"/>
            <w:tcMar>
              <w:top w:w="100" w:type="dxa"/>
              <w:left w:w="100" w:type="dxa"/>
              <w:bottom w:w="100" w:type="dxa"/>
              <w:right w:w="100" w:type="dxa"/>
            </w:tcMar>
          </w:tcPr>
          <w:p w14:paraId="785A11E1"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Year</w:t>
            </w:r>
          </w:p>
        </w:tc>
        <w:tc>
          <w:tcPr>
            <w:tcW w:w="1170" w:type="dxa"/>
            <w:tcMar>
              <w:top w:w="100" w:type="dxa"/>
              <w:left w:w="100" w:type="dxa"/>
              <w:bottom w:w="100" w:type="dxa"/>
              <w:right w:w="100" w:type="dxa"/>
            </w:tcMar>
          </w:tcPr>
          <w:p w14:paraId="326CE22B"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Country of Origin</w:t>
            </w:r>
          </w:p>
        </w:tc>
        <w:tc>
          <w:tcPr>
            <w:tcW w:w="1170" w:type="dxa"/>
            <w:tcMar>
              <w:top w:w="100" w:type="dxa"/>
              <w:left w:w="100" w:type="dxa"/>
              <w:bottom w:w="100" w:type="dxa"/>
              <w:right w:w="100" w:type="dxa"/>
            </w:tcMar>
          </w:tcPr>
          <w:p w14:paraId="162D6829"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Program Exposure</w:t>
            </w:r>
          </w:p>
        </w:tc>
        <w:tc>
          <w:tcPr>
            <w:tcW w:w="1170" w:type="dxa"/>
            <w:tcMar>
              <w:top w:w="100" w:type="dxa"/>
              <w:left w:w="100" w:type="dxa"/>
              <w:bottom w:w="100" w:type="dxa"/>
              <w:right w:w="100" w:type="dxa"/>
            </w:tcMar>
          </w:tcPr>
          <w:p w14:paraId="6701ACE2"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Interview</w:t>
            </w:r>
          </w:p>
        </w:tc>
        <w:tc>
          <w:tcPr>
            <w:tcW w:w="1170" w:type="dxa"/>
            <w:tcMar>
              <w:top w:w="100" w:type="dxa"/>
              <w:left w:w="100" w:type="dxa"/>
              <w:bottom w:w="100" w:type="dxa"/>
              <w:right w:w="100" w:type="dxa"/>
            </w:tcMar>
          </w:tcPr>
          <w:p w14:paraId="46523896"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FGD</w:t>
            </w:r>
          </w:p>
        </w:tc>
        <w:tc>
          <w:tcPr>
            <w:tcW w:w="1170" w:type="dxa"/>
            <w:tcMar>
              <w:top w:w="100" w:type="dxa"/>
              <w:left w:w="100" w:type="dxa"/>
              <w:bottom w:w="100" w:type="dxa"/>
              <w:right w:w="100" w:type="dxa"/>
            </w:tcMar>
          </w:tcPr>
          <w:p w14:paraId="5B51AE34" w14:textId="77777777" w:rsidR="003D5428" w:rsidRPr="009B13F9" w:rsidRDefault="00000000" w:rsidP="009B13F9">
            <w:pPr>
              <w:widowControl w:val="0"/>
              <w:spacing w:line="480" w:lineRule="auto"/>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Photovoice</w:t>
            </w:r>
          </w:p>
        </w:tc>
      </w:tr>
      <w:tr w:rsidR="003D5428" w:rsidRPr="009B13F9" w14:paraId="413359DB" w14:textId="77777777">
        <w:tc>
          <w:tcPr>
            <w:tcW w:w="1170" w:type="dxa"/>
            <w:tcMar>
              <w:top w:w="100" w:type="dxa"/>
              <w:left w:w="100" w:type="dxa"/>
              <w:bottom w:w="100" w:type="dxa"/>
              <w:right w:w="100" w:type="dxa"/>
            </w:tcMar>
          </w:tcPr>
          <w:p w14:paraId="567AF3E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P1</w:t>
            </w:r>
          </w:p>
        </w:tc>
        <w:tc>
          <w:tcPr>
            <w:tcW w:w="1170" w:type="dxa"/>
            <w:tcMar>
              <w:top w:w="100" w:type="dxa"/>
              <w:left w:w="100" w:type="dxa"/>
              <w:bottom w:w="100" w:type="dxa"/>
              <w:right w:w="100" w:type="dxa"/>
            </w:tcMar>
          </w:tcPr>
          <w:p w14:paraId="45EAD65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Maria</w:t>
            </w:r>
          </w:p>
        </w:tc>
        <w:tc>
          <w:tcPr>
            <w:tcW w:w="1170" w:type="dxa"/>
            <w:tcMar>
              <w:top w:w="100" w:type="dxa"/>
              <w:left w:w="100" w:type="dxa"/>
              <w:bottom w:w="100" w:type="dxa"/>
              <w:right w:w="100" w:type="dxa"/>
            </w:tcMar>
          </w:tcPr>
          <w:p w14:paraId="5D2D3B5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2nd year</w:t>
            </w:r>
          </w:p>
        </w:tc>
        <w:tc>
          <w:tcPr>
            <w:tcW w:w="1170" w:type="dxa"/>
            <w:tcMar>
              <w:top w:w="100" w:type="dxa"/>
              <w:left w:w="100" w:type="dxa"/>
              <w:bottom w:w="100" w:type="dxa"/>
              <w:right w:w="100" w:type="dxa"/>
            </w:tcMar>
          </w:tcPr>
          <w:p w14:paraId="2B49745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Timor-Leste</w:t>
            </w:r>
          </w:p>
        </w:tc>
        <w:tc>
          <w:tcPr>
            <w:tcW w:w="1170" w:type="dxa"/>
            <w:tcMar>
              <w:top w:w="100" w:type="dxa"/>
              <w:left w:w="100" w:type="dxa"/>
              <w:bottom w:w="100" w:type="dxa"/>
              <w:right w:w="100" w:type="dxa"/>
            </w:tcMar>
          </w:tcPr>
          <w:p w14:paraId="3C01B06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27D96E75"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5B6F4ED3"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c>
          <w:tcPr>
            <w:tcW w:w="1170" w:type="dxa"/>
            <w:tcMar>
              <w:top w:w="100" w:type="dxa"/>
              <w:left w:w="100" w:type="dxa"/>
              <w:bottom w:w="100" w:type="dxa"/>
              <w:right w:w="100" w:type="dxa"/>
            </w:tcMar>
          </w:tcPr>
          <w:p w14:paraId="582FEA10"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r>
      <w:tr w:rsidR="003D5428" w:rsidRPr="009B13F9" w14:paraId="6FE088C6" w14:textId="77777777">
        <w:tc>
          <w:tcPr>
            <w:tcW w:w="1170" w:type="dxa"/>
            <w:tcMar>
              <w:top w:w="100" w:type="dxa"/>
              <w:left w:w="100" w:type="dxa"/>
              <w:bottom w:w="100" w:type="dxa"/>
              <w:right w:w="100" w:type="dxa"/>
            </w:tcMar>
          </w:tcPr>
          <w:p w14:paraId="6A0AEB9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P2</w:t>
            </w:r>
          </w:p>
        </w:tc>
        <w:tc>
          <w:tcPr>
            <w:tcW w:w="1170" w:type="dxa"/>
            <w:tcMar>
              <w:top w:w="100" w:type="dxa"/>
              <w:left w:w="100" w:type="dxa"/>
              <w:bottom w:w="100" w:type="dxa"/>
              <w:right w:w="100" w:type="dxa"/>
            </w:tcMar>
          </w:tcPr>
          <w:p w14:paraId="3FFBFEAE"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Zarmina</w:t>
            </w:r>
          </w:p>
        </w:tc>
        <w:tc>
          <w:tcPr>
            <w:tcW w:w="1170" w:type="dxa"/>
            <w:tcMar>
              <w:top w:w="100" w:type="dxa"/>
              <w:left w:w="100" w:type="dxa"/>
              <w:bottom w:w="100" w:type="dxa"/>
              <w:right w:w="100" w:type="dxa"/>
            </w:tcMar>
          </w:tcPr>
          <w:p w14:paraId="41662D5B"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2nd year</w:t>
            </w:r>
          </w:p>
        </w:tc>
        <w:tc>
          <w:tcPr>
            <w:tcW w:w="1170" w:type="dxa"/>
            <w:tcMar>
              <w:top w:w="100" w:type="dxa"/>
              <w:left w:w="100" w:type="dxa"/>
              <w:bottom w:w="100" w:type="dxa"/>
              <w:right w:w="100" w:type="dxa"/>
            </w:tcMar>
          </w:tcPr>
          <w:p w14:paraId="07E6D53A"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w:t>
            </w:r>
          </w:p>
        </w:tc>
        <w:tc>
          <w:tcPr>
            <w:tcW w:w="1170" w:type="dxa"/>
            <w:tcMar>
              <w:top w:w="100" w:type="dxa"/>
              <w:left w:w="100" w:type="dxa"/>
              <w:bottom w:w="100" w:type="dxa"/>
              <w:right w:w="100" w:type="dxa"/>
            </w:tcMar>
          </w:tcPr>
          <w:p w14:paraId="3D8ECB6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2A1D9372"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4BAE474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c>
          <w:tcPr>
            <w:tcW w:w="1170" w:type="dxa"/>
            <w:tcMar>
              <w:top w:w="100" w:type="dxa"/>
              <w:left w:w="100" w:type="dxa"/>
              <w:bottom w:w="100" w:type="dxa"/>
              <w:right w:w="100" w:type="dxa"/>
            </w:tcMar>
          </w:tcPr>
          <w:p w14:paraId="77F0E726"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r>
      <w:tr w:rsidR="003D5428" w:rsidRPr="009B13F9" w14:paraId="36D5F062" w14:textId="77777777">
        <w:tc>
          <w:tcPr>
            <w:tcW w:w="1170" w:type="dxa"/>
            <w:tcMar>
              <w:top w:w="100" w:type="dxa"/>
              <w:left w:w="100" w:type="dxa"/>
              <w:bottom w:w="100" w:type="dxa"/>
              <w:right w:w="100" w:type="dxa"/>
            </w:tcMar>
          </w:tcPr>
          <w:p w14:paraId="13EC0A65"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P3</w:t>
            </w:r>
          </w:p>
        </w:tc>
        <w:tc>
          <w:tcPr>
            <w:tcW w:w="1170" w:type="dxa"/>
            <w:tcMar>
              <w:top w:w="100" w:type="dxa"/>
              <w:left w:w="100" w:type="dxa"/>
              <w:bottom w:w="100" w:type="dxa"/>
              <w:right w:w="100" w:type="dxa"/>
            </w:tcMar>
          </w:tcPr>
          <w:p w14:paraId="61577EE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Laila</w:t>
            </w:r>
          </w:p>
        </w:tc>
        <w:tc>
          <w:tcPr>
            <w:tcW w:w="1170" w:type="dxa"/>
            <w:tcMar>
              <w:top w:w="100" w:type="dxa"/>
              <w:left w:w="100" w:type="dxa"/>
              <w:bottom w:w="100" w:type="dxa"/>
              <w:right w:w="100" w:type="dxa"/>
            </w:tcMar>
          </w:tcPr>
          <w:p w14:paraId="74AC8FA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2nd year</w:t>
            </w:r>
          </w:p>
        </w:tc>
        <w:tc>
          <w:tcPr>
            <w:tcW w:w="1170" w:type="dxa"/>
            <w:tcMar>
              <w:top w:w="100" w:type="dxa"/>
              <w:left w:w="100" w:type="dxa"/>
              <w:bottom w:w="100" w:type="dxa"/>
              <w:right w:w="100" w:type="dxa"/>
            </w:tcMar>
          </w:tcPr>
          <w:p w14:paraId="1B0FDFC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w:t>
            </w:r>
          </w:p>
        </w:tc>
        <w:tc>
          <w:tcPr>
            <w:tcW w:w="1170" w:type="dxa"/>
            <w:tcMar>
              <w:top w:w="100" w:type="dxa"/>
              <w:left w:w="100" w:type="dxa"/>
              <w:bottom w:w="100" w:type="dxa"/>
              <w:right w:w="100" w:type="dxa"/>
            </w:tcMar>
          </w:tcPr>
          <w:p w14:paraId="4B095EC3"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41854DE2"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3209B84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 (Via written response)</w:t>
            </w:r>
          </w:p>
        </w:tc>
        <w:tc>
          <w:tcPr>
            <w:tcW w:w="1170" w:type="dxa"/>
            <w:tcMar>
              <w:top w:w="100" w:type="dxa"/>
              <w:left w:w="100" w:type="dxa"/>
              <w:bottom w:w="100" w:type="dxa"/>
              <w:right w:w="100" w:type="dxa"/>
            </w:tcMar>
          </w:tcPr>
          <w:p w14:paraId="39EF928D"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r>
      <w:tr w:rsidR="003D5428" w:rsidRPr="009B13F9" w14:paraId="78F8B1A4" w14:textId="77777777">
        <w:tc>
          <w:tcPr>
            <w:tcW w:w="1170" w:type="dxa"/>
            <w:tcMar>
              <w:top w:w="100" w:type="dxa"/>
              <w:left w:w="100" w:type="dxa"/>
              <w:bottom w:w="100" w:type="dxa"/>
              <w:right w:w="100" w:type="dxa"/>
            </w:tcMar>
          </w:tcPr>
          <w:p w14:paraId="4873AC2E"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P4</w:t>
            </w:r>
          </w:p>
        </w:tc>
        <w:tc>
          <w:tcPr>
            <w:tcW w:w="1170" w:type="dxa"/>
            <w:tcMar>
              <w:top w:w="100" w:type="dxa"/>
              <w:left w:w="100" w:type="dxa"/>
              <w:bottom w:w="100" w:type="dxa"/>
              <w:right w:w="100" w:type="dxa"/>
            </w:tcMar>
          </w:tcPr>
          <w:p w14:paraId="18A12C9E"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Khadija</w:t>
            </w:r>
          </w:p>
        </w:tc>
        <w:tc>
          <w:tcPr>
            <w:tcW w:w="1170" w:type="dxa"/>
            <w:tcMar>
              <w:top w:w="100" w:type="dxa"/>
              <w:left w:w="100" w:type="dxa"/>
              <w:bottom w:w="100" w:type="dxa"/>
              <w:right w:w="100" w:type="dxa"/>
            </w:tcMar>
          </w:tcPr>
          <w:p w14:paraId="7A395CF2"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2nd year</w:t>
            </w:r>
          </w:p>
        </w:tc>
        <w:tc>
          <w:tcPr>
            <w:tcW w:w="1170" w:type="dxa"/>
            <w:tcMar>
              <w:top w:w="100" w:type="dxa"/>
              <w:left w:w="100" w:type="dxa"/>
              <w:bottom w:w="100" w:type="dxa"/>
              <w:right w:w="100" w:type="dxa"/>
            </w:tcMar>
          </w:tcPr>
          <w:p w14:paraId="05AFAEE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w:t>
            </w:r>
          </w:p>
        </w:tc>
        <w:tc>
          <w:tcPr>
            <w:tcW w:w="1170" w:type="dxa"/>
            <w:tcMar>
              <w:top w:w="100" w:type="dxa"/>
              <w:left w:w="100" w:type="dxa"/>
              <w:bottom w:w="100" w:type="dxa"/>
              <w:right w:w="100" w:type="dxa"/>
            </w:tcMar>
          </w:tcPr>
          <w:p w14:paraId="3FD642B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19CA3C0D"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7E6E82D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c>
          <w:tcPr>
            <w:tcW w:w="1170" w:type="dxa"/>
            <w:tcMar>
              <w:top w:w="100" w:type="dxa"/>
              <w:left w:w="100" w:type="dxa"/>
              <w:bottom w:w="100" w:type="dxa"/>
              <w:right w:w="100" w:type="dxa"/>
            </w:tcMar>
          </w:tcPr>
          <w:p w14:paraId="709E037C" w14:textId="77777777" w:rsidR="003D5428" w:rsidRPr="009B13F9" w:rsidRDefault="003D5428" w:rsidP="009B13F9">
            <w:pPr>
              <w:widowControl w:val="0"/>
              <w:spacing w:line="480" w:lineRule="auto"/>
              <w:rPr>
                <w:rFonts w:ascii="Times New Roman" w:eastAsia="Times New Roman" w:hAnsi="Times New Roman" w:cs="Times New Roman"/>
                <w:sz w:val="24"/>
                <w:szCs w:val="24"/>
              </w:rPr>
            </w:pPr>
          </w:p>
        </w:tc>
      </w:tr>
      <w:tr w:rsidR="003D5428" w:rsidRPr="009B13F9" w14:paraId="30E624E7" w14:textId="77777777">
        <w:tc>
          <w:tcPr>
            <w:tcW w:w="1170" w:type="dxa"/>
            <w:tcMar>
              <w:top w:w="100" w:type="dxa"/>
              <w:left w:w="100" w:type="dxa"/>
              <w:bottom w:w="100" w:type="dxa"/>
              <w:right w:w="100" w:type="dxa"/>
            </w:tcMar>
          </w:tcPr>
          <w:p w14:paraId="77C3DBA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P5</w:t>
            </w:r>
          </w:p>
        </w:tc>
        <w:tc>
          <w:tcPr>
            <w:tcW w:w="1170" w:type="dxa"/>
            <w:tcMar>
              <w:top w:w="100" w:type="dxa"/>
              <w:left w:w="100" w:type="dxa"/>
              <w:bottom w:w="100" w:type="dxa"/>
              <w:right w:w="100" w:type="dxa"/>
            </w:tcMar>
          </w:tcPr>
          <w:p w14:paraId="2FCFB333"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Tasnim</w:t>
            </w:r>
          </w:p>
        </w:tc>
        <w:tc>
          <w:tcPr>
            <w:tcW w:w="1170" w:type="dxa"/>
            <w:tcMar>
              <w:top w:w="100" w:type="dxa"/>
              <w:left w:w="100" w:type="dxa"/>
              <w:bottom w:w="100" w:type="dxa"/>
              <w:right w:w="100" w:type="dxa"/>
            </w:tcMar>
          </w:tcPr>
          <w:p w14:paraId="4E1A714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2nd year</w:t>
            </w:r>
          </w:p>
        </w:tc>
        <w:tc>
          <w:tcPr>
            <w:tcW w:w="1170" w:type="dxa"/>
            <w:tcMar>
              <w:top w:w="100" w:type="dxa"/>
              <w:left w:w="100" w:type="dxa"/>
              <w:bottom w:w="100" w:type="dxa"/>
              <w:right w:w="100" w:type="dxa"/>
            </w:tcMar>
          </w:tcPr>
          <w:p w14:paraId="6778DB7A"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1170" w:type="dxa"/>
            <w:tcMar>
              <w:top w:w="100" w:type="dxa"/>
              <w:left w:w="100" w:type="dxa"/>
              <w:bottom w:w="100" w:type="dxa"/>
              <w:right w:w="100" w:type="dxa"/>
            </w:tcMar>
          </w:tcPr>
          <w:p w14:paraId="2288CEF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7579501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4A028B8D"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5EB06A2D"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r>
      <w:tr w:rsidR="003D5428" w:rsidRPr="009B13F9" w14:paraId="29DCED1A" w14:textId="77777777">
        <w:tc>
          <w:tcPr>
            <w:tcW w:w="1170" w:type="dxa"/>
            <w:tcMar>
              <w:top w:w="100" w:type="dxa"/>
              <w:left w:w="100" w:type="dxa"/>
              <w:bottom w:w="100" w:type="dxa"/>
              <w:right w:w="100" w:type="dxa"/>
            </w:tcMar>
          </w:tcPr>
          <w:p w14:paraId="0822829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P6</w:t>
            </w:r>
          </w:p>
        </w:tc>
        <w:tc>
          <w:tcPr>
            <w:tcW w:w="1170" w:type="dxa"/>
            <w:tcMar>
              <w:top w:w="100" w:type="dxa"/>
              <w:left w:w="100" w:type="dxa"/>
              <w:bottom w:w="100" w:type="dxa"/>
              <w:right w:w="100" w:type="dxa"/>
            </w:tcMar>
          </w:tcPr>
          <w:p w14:paraId="2EF9B2ED"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Anika</w:t>
            </w:r>
          </w:p>
        </w:tc>
        <w:tc>
          <w:tcPr>
            <w:tcW w:w="1170" w:type="dxa"/>
            <w:tcMar>
              <w:top w:w="100" w:type="dxa"/>
              <w:left w:w="100" w:type="dxa"/>
              <w:bottom w:w="100" w:type="dxa"/>
              <w:right w:w="100" w:type="dxa"/>
            </w:tcMar>
          </w:tcPr>
          <w:p w14:paraId="3C520B8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2nd year</w:t>
            </w:r>
          </w:p>
        </w:tc>
        <w:tc>
          <w:tcPr>
            <w:tcW w:w="1170" w:type="dxa"/>
            <w:tcMar>
              <w:top w:w="100" w:type="dxa"/>
              <w:left w:w="100" w:type="dxa"/>
              <w:bottom w:w="100" w:type="dxa"/>
              <w:right w:w="100" w:type="dxa"/>
            </w:tcMar>
          </w:tcPr>
          <w:p w14:paraId="32914DA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1170" w:type="dxa"/>
            <w:tcMar>
              <w:top w:w="100" w:type="dxa"/>
              <w:left w:w="100" w:type="dxa"/>
              <w:bottom w:w="100" w:type="dxa"/>
              <w:right w:w="100" w:type="dxa"/>
            </w:tcMar>
          </w:tcPr>
          <w:p w14:paraId="0B5CD31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0319ED06"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14A6BB5A"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5B6E19B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r>
      <w:tr w:rsidR="003D5428" w:rsidRPr="009B13F9" w14:paraId="2D76AC63" w14:textId="77777777">
        <w:tc>
          <w:tcPr>
            <w:tcW w:w="1170" w:type="dxa"/>
            <w:tcMar>
              <w:top w:w="100" w:type="dxa"/>
              <w:left w:w="100" w:type="dxa"/>
              <w:bottom w:w="100" w:type="dxa"/>
              <w:right w:w="100" w:type="dxa"/>
            </w:tcMar>
          </w:tcPr>
          <w:p w14:paraId="1B80C8B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lastRenderedPageBreak/>
              <w:t>P7</w:t>
            </w:r>
          </w:p>
        </w:tc>
        <w:tc>
          <w:tcPr>
            <w:tcW w:w="1170" w:type="dxa"/>
            <w:tcMar>
              <w:top w:w="100" w:type="dxa"/>
              <w:left w:w="100" w:type="dxa"/>
              <w:bottom w:w="100" w:type="dxa"/>
              <w:right w:w="100" w:type="dxa"/>
            </w:tcMar>
          </w:tcPr>
          <w:p w14:paraId="36A05518"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Lailuma</w:t>
            </w:r>
          </w:p>
        </w:tc>
        <w:tc>
          <w:tcPr>
            <w:tcW w:w="1170" w:type="dxa"/>
            <w:tcMar>
              <w:top w:w="100" w:type="dxa"/>
              <w:left w:w="100" w:type="dxa"/>
              <w:bottom w:w="100" w:type="dxa"/>
              <w:right w:w="100" w:type="dxa"/>
            </w:tcMar>
          </w:tcPr>
          <w:p w14:paraId="3FED39E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2nd year</w:t>
            </w:r>
          </w:p>
        </w:tc>
        <w:tc>
          <w:tcPr>
            <w:tcW w:w="1170" w:type="dxa"/>
            <w:tcMar>
              <w:top w:w="100" w:type="dxa"/>
              <w:left w:w="100" w:type="dxa"/>
              <w:bottom w:w="100" w:type="dxa"/>
              <w:right w:w="100" w:type="dxa"/>
            </w:tcMar>
          </w:tcPr>
          <w:p w14:paraId="0AD452DB"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w:t>
            </w:r>
          </w:p>
        </w:tc>
        <w:tc>
          <w:tcPr>
            <w:tcW w:w="1170" w:type="dxa"/>
            <w:tcMar>
              <w:top w:w="100" w:type="dxa"/>
              <w:left w:w="100" w:type="dxa"/>
              <w:bottom w:w="100" w:type="dxa"/>
              <w:right w:w="100" w:type="dxa"/>
            </w:tcMar>
          </w:tcPr>
          <w:p w14:paraId="0E7B448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2A01700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14345740"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3703F26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r>
      <w:tr w:rsidR="003D5428" w:rsidRPr="009B13F9" w14:paraId="56DDFB18" w14:textId="77777777">
        <w:tc>
          <w:tcPr>
            <w:tcW w:w="1170" w:type="dxa"/>
            <w:tcMar>
              <w:top w:w="100" w:type="dxa"/>
              <w:left w:w="100" w:type="dxa"/>
              <w:bottom w:w="100" w:type="dxa"/>
              <w:right w:w="100" w:type="dxa"/>
            </w:tcMar>
          </w:tcPr>
          <w:p w14:paraId="3CC0256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P8</w:t>
            </w:r>
          </w:p>
        </w:tc>
        <w:tc>
          <w:tcPr>
            <w:tcW w:w="1170" w:type="dxa"/>
            <w:tcMar>
              <w:top w:w="100" w:type="dxa"/>
              <w:left w:w="100" w:type="dxa"/>
              <w:bottom w:w="100" w:type="dxa"/>
              <w:right w:w="100" w:type="dxa"/>
            </w:tcMar>
          </w:tcPr>
          <w:p w14:paraId="3268FA80"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Nusrat</w:t>
            </w:r>
          </w:p>
        </w:tc>
        <w:tc>
          <w:tcPr>
            <w:tcW w:w="1170" w:type="dxa"/>
            <w:tcMar>
              <w:top w:w="100" w:type="dxa"/>
              <w:left w:w="100" w:type="dxa"/>
              <w:bottom w:w="100" w:type="dxa"/>
              <w:right w:w="100" w:type="dxa"/>
            </w:tcMar>
          </w:tcPr>
          <w:p w14:paraId="005EDEEA"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1st year</w:t>
            </w:r>
          </w:p>
        </w:tc>
        <w:tc>
          <w:tcPr>
            <w:tcW w:w="1170" w:type="dxa"/>
            <w:tcMar>
              <w:top w:w="100" w:type="dxa"/>
              <w:left w:w="100" w:type="dxa"/>
              <w:bottom w:w="100" w:type="dxa"/>
              <w:right w:w="100" w:type="dxa"/>
            </w:tcMar>
          </w:tcPr>
          <w:p w14:paraId="529A6563"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1170" w:type="dxa"/>
            <w:tcMar>
              <w:top w:w="100" w:type="dxa"/>
              <w:left w:w="100" w:type="dxa"/>
              <w:bottom w:w="100" w:type="dxa"/>
              <w:right w:w="100" w:type="dxa"/>
            </w:tcMar>
          </w:tcPr>
          <w:p w14:paraId="08307185"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457FA20E"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4C78C96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c>
          <w:tcPr>
            <w:tcW w:w="1170" w:type="dxa"/>
            <w:tcMar>
              <w:top w:w="100" w:type="dxa"/>
              <w:left w:w="100" w:type="dxa"/>
              <w:bottom w:w="100" w:type="dxa"/>
              <w:right w:w="100" w:type="dxa"/>
            </w:tcMar>
          </w:tcPr>
          <w:p w14:paraId="50D357D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r>
      <w:tr w:rsidR="003D5428" w:rsidRPr="009B13F9" w14:paraId="55766AA3" w14:textId="77777777">
        <w:tc>
          <w:tcPr>
            <w:tcW w:w="1170" w:type="dxa"/>
            <w:tcMar>
              <w:top w:w="100" w:type="dxa"/>
              <w:left w:w="100" w:type="dxa"/>
              <w:bottom w:w="100" w:type="dxa"/>
              <w:right w:w="100" w:type="dxa"/>
            </w:tcMar>
          </w:tcPr>
          <w:p w14:paraId="1CF6AAB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P9</w:t>
            </w:r>
          </w:p>
        </w:tc>
        <w:tc>
          <w:tcPr>
            <w:tcW w:w="1170" w:type="dxa"/>
            <w:tcMar>
              <w:top w:w="100" w:type="dxa"/>
              <w:left w:w="100" w:type="dxa"/>
              <w:bottom w:w="100" w:type="dxa"/>
              <w:right w:w="100" w:type="dxa"/>
            </w:tcMar>
          </w:tcPr>
          <w:p w14:paraId="3DFF6CD8"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Fariha</w:t>
            </w:r>
          </w:p>
        </w:tc>
        <w:tc>
          <w:tcPr>
            <w:tcW w:w="1170" w:type="dxa"/>
            <w:tcMar>
              <w:top w:w="100" w:type="dxa"/>
              <w:left w:w="100" w:type="dxa"/>
              <w:bottom w:w="100" w:type="dxa"/>
              <w:right w:w="100" w:type="dxa"/>
            </w:tcMar>
          </w:tcPr>
          <w:p w14:paraId="0AFF6FD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1st year</w:t>
            </w:r>
          </w:p>
        </w:tc>
        <w:tc>
          <w:tcPr>
            <w:tcW w:w="1170" w:type="dxa"/>
            <w:tcMar>
              <w:top w:w="100" w:type="dxa"/>
              <w:left w:w="100" w:type="dxa"/>
              <w:bottom w:w="100" w:type="dxa"/>
              <w:right w:w="100" w:type="dxa"/>
            </w:tcMar>
          </w:tcPr>
          <w:p w14:paraId="04715422"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1170" w:type="dxa"/>
            <w:tcMar>
              <w:top w:w="100" w:type="dxa"/>
              <w:left w:w="100" w:type="dxa"/>
              <w:bottom w:w="100" w:type="dxa"/>
              <w:right w:w="100" w:type="dxa"/>
            </w:tcMar>
          </w:tcPr>
          <w:p w14:paraId="0AB5607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6B426CFA"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6E5B920D"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c>
          <w:tcPr>
            <w:tcW w:w="1170" w:type="dxa"/>
            <w:tcMar>
              <w:top w:w="100" w:type="dxa"/>
              <w:left w:w="100" w:type="dxa"/>
              <w:bottom w:w="100" w:type="dxa"/>
              <w:right w:w="100" w:type="dxa"/>
            </w:tcMar>
          </w:tcPr>
          <w:p w14:paraId="49FEF7D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r>
      <w:tr w:rsidR="003D5428" w:rsidRPr="009B13F9" w14:paraId="50AF2389" w14:textId="77777777">
        <w:tc>
          <w:tcPr>
            <w:tcW w:w="1170" w:type="dxa"/>
            <w:tcMar>
              <w:top w:w="100" w:type="dxa"/>
              <w:left w:w="100" w:type="dxa"/>
              <w:bottom w:w="100" w:type="dxa"/>
              <w:right w:w="100" w:type="dxa"/>
            </w:tcMar>
          </w:tcPr>
          <w:p w14:paraId="3AE5DB43"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P10</w:t>
            </w:r>
          </w:p>
        </w:tc>
        <w:tc>
          <w:tcPr>
            <w:tcW w:w="1170" w:type="dxa"/>
            <w:tcMar>
              <w:top w:w="100" w:type="dxa"/>
              <w:left w:w="100" w:type="dxa"/>
              <w:bottom w:w="100" w:type="dxa"/>
              <w:right w:w="100" w:type="dxa"/>
            </w:tcMar>
          </w:tcPr>
          <w:p w14:paraId="1F197055"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Adiba</w:t>
            </w:r>
          </w:p>
        </w:tc>
        <w:tc>
          <w:tcPr>
            <w:tcW w:w="1170" w:type="dxa"/>
            <w:tcMar>
              <w:top w:w="100" w:type="dxa"/>
              <w:left w:w="100" w:type="dxa"/>
              <w:bottom w:w="100" w:type="dxa"/>
              <w:right w:w="100" w:type="dxa"/>
            </w:tcMar>
          </w:tcPr>
          <w:p w14:paraId="2DF7424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1st year</w:t>
            </w:r>
          </w:p>
        </w:tc>
        <w:tc>
          <w:tcPr>
            <w:tcW w:w="1170" w:type="dxa"/>
            <w:tcMar>
              <w:top w:w="100" w:type="dxa"/>
              <w:left w:w="100" w:type="dxa"/>
              <w:bottom w:w="100" w:type="dxa"/>
              <w:right w:w="100" w:type="dxa"/>
            </w:tcMar>
          </w:tcPr>
          <w:p w14:paraId="01B73A26"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1170" w:type="dxa"/>
            <w:tcMar>
              <w:top w:w="100" w:type="dxa"/>
              <w:left w:w="100" w:type="dxa"/>
              <w:bottom w:w="100" w:type="dxa"/>
              <w:right w:w="100" w:type="dxa"/>
            </w:tcMar>
          </w:tcPr>
          <w:p w14:paraId="6D3E83CB"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1252E13C"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1097872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c>
          <w:tcPr>
            <w:tcW w:w="1170" w:type="dxa"/>
            <w:tcMar>
              <w:top w:w="100" w:type="dxa"/>
              <w:left w:w="100" w:type="dxa"/>
              <w:bottom w:w="100" w:type="dxa"/>
              <w:right w:w="100" w:type="dxa"/>
            </w:tcMar>
          </w:tcPr>
          <w:p w14:paraId="20289A2B"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r>
      <w:tr w:rsidR="003D5428" w:rsidRPr="009B13F9" w14:paraId="2BAD0ACD" w14:textId="77777777">
        <w:tc>
          <w:tcPr>
            <w:tcW w:w="1170" w:type="dxa"/>
            <w:tcMar>
              <w:top w:w="100" w:type="dxa"/>
              <w:left w:w="100" w:type="dxa"/>
              <w:bottom w:w="100" w:type="dxa"/>
              <w:right w:w="100" w:type="dxa"/>
            </w:tcMar>
          </w:tcPr>
          <w:p w14:paraId="69F3164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P11</w:t>
            </w:r>
          </w:p>
        </w:tc>
        <w:tc>
          <w:tcPr>
            <w:tcW w:w="1170" w:type="dxa"/>
            <w:tcMar>
              <w:top w:w="100" w:type="dxa"/>
              <w:left w:w="100" w:type="dxa"/>
              <w:bottom w:w="100" w:type="dxa"/>
              <w:right w:w="100" w:type="dxa"/>
            </w:tcMar>
          </w:tcPr>
          <w:p w14:paraId="2DAACE5B"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Bushra</w:t>
            </w:r>
          </w:p>
        </w:tc>
        <w:tc>
          <w:tcPr>
            <w:tcW w:w="1170" w:type="dxa"/>
            <w:tcMar>
              <w:top w:w="100" w:type="dxa"/>
              <w:left w:w="100" w:type="dxa"/>
              <w:bottom w:w="100" w:type="dxa"/>
              <w:right w:w="100" w:type="dxa"/>
            </w:tcMar>
          </w:tcPr>
          <w:p w14:paraId="0CBB38C0"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2nd year</w:t>
            </w:r>
          </w:p>
        </w:tc>
        <w:tc>
          <w:tcPr>
            <w:tcW w:w="1170" w:type="dxa"/>
            <w:tcMar>
              <w:top w:w="100" w:type="dxa"/>
              <w:left w:w="100" w:type="dxa"/>
              <w:bottom w:w="100" w:type="dxa"/>
              <w:right w:w="100" w:type="dxa"/>
            </w:tcMar>
          </w:tcPr>
          <w:p w14:paraId="057CE05D"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Bangladesh</w:t>
            </w:r>
          </w:p>
        </w:tc>
        <w:tc>
          <w:tcPr>
            <w:tcW w:w="1170" w:type="dxa"/>
            <w:tcMar>
              <w:top w:w="100" w:type="dxa"/>
              <w:left w:w="100" w:type="dxa"/>
              <w:bottom w:w="100" w:type="dxa"/>
              <w:right w:w="100" w:type="dxa"/>
            </w:tcMar>
          </w:tcPr>
          <w:p w14:paraId="22B8159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0B223355"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3A17EAB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c>
          <w:tcPr>
            <w:tcW w:w="1170" w:type="dxa"/>
            <w:tcMar>
              <w:top w:w="100" w:type="dxa"/>
              <w:left w:w="100" w:type="dxa"/>
              <w:bottom w:w="100" w:type="dxa"/>
              <w:right w:w="100" w:type="dxa"/>
            </w:tcMar>
          </w:tcPr>
          <w:p w14:paraId="42936596"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r>
      <w:tr w:rsidR="003D5428" w:rsidRPr="009B13F9" w14:paraId="663EF8CA" w14:textId="77777777">
        <w:tc>
          <w:tcPr>
            <w:tcW w:w="1170" w:type="dxa"/>
            <w:tcMar>
              <w:top w:w="100" w:type="dxa"/>
              <w:left w:w="100" w:type="dxa"/>
              <w:bottom w:w="100" w:type="dxa"/>
              <w:right w:w="100" w:type="dxa"/>
            </w:tcMar>
          </w:tcPr>
          <w:p w14:paraId="2884361D"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P12</w:t>
            </w:r>
          </w:p>
        </w:tc>
        <w:tc>
          <w:tcPr>
            <w:tcW w:w="1170" w:type="dxa"/>
            <w:tcMar>
              <w:top w:w="100" w:type="dxa"/>
              <w:left w:w="100" w:type="dxa"/>
              <w:bottom w:w="100" w:type="dxa"/>
              <w:right w:w="100" w:type="dxa"/>
            </w:tcMar>
          </w:tcPr>
          <w:p w14:paraId="731CAFA1"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Yasmin</w:t>
            </w:r>
          </w:p>
        </w:tc>
        <w:tc>
          <w:tcPr>
            <w:tcW w:w="1170" w:type="dxa"/>
            <w:tcMar>
              <w:top w:w="100" w:type="dxa"/>
              <w:left w:w="100" w:type="dxa"/>
              <w:bottom w:w="100" w:type="dxa"/>
              <w:right w:w="100" w:type="dxa"/>
            </w:tcMar>
          </w:tcPr>
          <w:p w14:paraId="2E8A9D10"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2nd year</w:t>
            </w:r>
          </w:p>
        </w:tc>
        <w:tc>
          <w:tcPr>
            <w:tcW w:w="1170" w:type="dxa"/>
            <w:tcMar>
              <w:top w:w="100" w:type="dxa"/>
              <w:left w:w="100" w:type="dxa"/>
              <w:bottom w:w="100" w:type="dxa"/>
              <w:right w:w="100" w:type="dxa"/>
            </w:tcMar>
          </w:tcPr>
          <w:p w14:paraId="16B8461B"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Myanmar (Rohingya Refugee)</w:t>
            </w:r>
          </w:p>
        </w:tc>
        <w:tc>
          <w:tcPr>
            <w:tcW w:w="1170" w:type="dxa"/>
            <w:tcMar>
              <w:top w:w="100" w:type="dxa"/>
              <w:left w:w="100" w:type="dxa"/>
              <w:bottom w:w="100" w:type="dxa"/>
              <w:right w:w="100" w:type="dxa"/>
            </w:tcMar>
          </w:tcPr>
          <w:p w14:paraId="366644BD"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In-person</w:t>
            </w:r>
          </w:p>
        </w:tc>
        <w:tc>
          <w:tcPr>
            <w:tcW w:w="1170" w:type="dxa"/>
            <w:tcMar>
              <w:top w:w="100" w:type="dxa"/>
              <w:left w:w="100" w:type="dxa"/>
              <w:bottom w:w="100" w:type="dxa"/>
              <w:right w:w="100" w:type="dxa"/>
            </w:tcMar>
          </w:tcPr>
          <w:p w14:paraId="0C67D2B7"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060B77F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c>
          <w:tcPr>
            <w:tcW w:w="1170" w:type="dxa"/>
            <w:tcMar>
              <w:top w:w="100" w:type="dxa"/>
              <w:left w:w="100" w:type="dxa"/>
              <w:bottom w:w="100" w:type="dxa"/>
              <w:right w:w="100" w:type="dxa"/>
            </w:tcMar>
          </w:tcPr>
          <w:p w14:paraId="0106357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r>
      <w:tr w:rsidR="003D5428" w:rsidRPr="009B13F9" w14:paraId="049159B3" w14:textId="77777777">
        <w:tc>
          <w:tcPr>
            <w:tcW w:w="1170" w:type="dxa"/>
            <w:tcMar>
              <w:top w:w="100" w:type="dxa"/>
              <w:left w:w="100" w:type="dxa"/>
              <w:bottom w:w="100" w:type="dxa"/>
              <w:right w:w="100" w:type="dxa"/>
            </w:tcMar>
          </w:tcPr>
          <w:p w14:paraId="18DB4B4E"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P13</w:t>
            </w:r>
          </w:p>
        </w:tc>
        <w:tc>
          <w:tcPr>
            <w:tcW w:w="1170" w:type="dxa"/>
            <w:tcMar>
              <w:top w:w="100" w:type="dxa"/>
              <w:left w:w="100" w:type="dxa"/>
              <w:bottom w:w="100" w:type="dxa"/>
              <w:right w:w="100" w:type="dxa"/>
            </w:tcMar>
          </w:tcPr>
          <w:p w14:paraId="2FE4C02F"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Malala</w:t>
            </w:r>
          </w:p>
        </w:tc>
        <w:tc>
          <w:tcPr>
            <w:tcW w:w="1170" w:type="dxa"/>
            <w:tcMar>
              <w:top w:w="100" w:type="dxa"/>
              <w:left w:w="100" w:type="dxa"/>
              <w:bottom w:w="100" w:type="dxa"/>
              <w:right w:w="100" w:type="dxa"/>
            </w:tcMar>
          </w:tcPr>
          <w:p w14:paraId="75ADA489"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1st year</w:t>
            </w:r>
          </w:p>
        </w:tc>
        <w:tc>
          <w:tcPr>
            <w:tcW w:w="1170" w:type="dxa"/>
            <w:tcMar>
              <w:top w:w="100" w:type="dxa"/>
              <w:left w:w="100" w:type="dxa"/>
              <w:bottom w:w="100" w:type="dxa"/>
              <w:right w:w="100" w:type="dxa"/>
            </w:tcMar>
          </w:tcPr>
          <w:p w14:paraId="218E1754"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Afghanistan</w:t>
            </w:r>
          </w:p>
        </w:tc>
        <w:tc>
          <w:tcPr>
            <w:tcW w:w="1170" w:type="dxa"/>
            <w:tcMar>
              <w:top w:w="100" w:type="dxa"/>
              <w:left w:w="100" w:type="dxa"/>
              <w:bottom w:w="100" w:type="dxa"/>
              <w:right w:w="100" w:type="dxa"/>
            </w:tcMar>
          </w:tcPr>
          <w:p w14:paraId="6321B938"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Fully remote/ online</w:t>
            </w:r>
          </w:p>
        </w:tc>
        <w:tc>
          <w:tcPr>
            <w:tcW w:w="1170" w:type="dxa"/>
            <w:tcMar>
              <w:top w:w="100" w:type="dxa"/>
              <w:left w:w="100" w:type="dxa"/>
              <w:bottom w:w="100" w:type="dxa"/>
              <w:right w:w="100" w:type="dxa"/>
            </w:tcMar>
          </w:tcPr>
          <w:p w14:paraId="1FCB9308"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Yes</w:t>
            </w:r>
          </w:p>
        </w:tc>
        <w:tc>
          <w:tcPr>
            <w:tcW w:w="1170" w:type="dxa"/>
            <w:tcMar>
              <w:top w:w="100" w:type="dxa"/>
              <w:left w:w="100" w:type="dxa"/>
              <w:bottom w:w="100" w:type="dxa"/>
              <w:right w:w="100" w:type="dxa"/>
            </w:tcMar>
          </w:tcPr>
          <w:p w14:paraId="5FD44CC8"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c>
          <w:tcPr>
            <w:tcW w:w="1170" w:type="dxa"/>
            <w:tcMar>
              <w:top w:w="100" w:type="dxa"/>
              <w:left w:w="100" w:type="dxa"/>
              <w:bottom w:w="100" w:type="dxa"/>
              <w:right w:w="100" w:type="dxa"/>
            </w:tcMar>
          </w:tcPr>
          <w:p w14:paraId="6E927B4E" w14:textId="77777777" w:rsidR="003D5428" w:rsidRPr="009B13F9" w:rsidRDefault="00000000" w:rsidP="009B13F9">
            <w:pPr>
              <w:widowControl w:val="0"/>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No</w:t>
            </w:r>
          </w:p>
        </w:tc>
      </w:tr>
    </w:tbl>
    <w:p w14:paraId="572ACCF7" w14:textId="77777777" w:rsidR="003D5428" w:rsidRPr="009B13F9" w:rsidRDefault="003D5428" w:rsidP="009B13F9">
      <w:pPr>
        <w:spacing w:after="240" w:line="480" w:lineRule="auto"/>
        <w:rPr>
          <w:rFonts w:ascii="Times New Roman" w:eastAsia="Times New Roman" w:hAnsi="Times New Roman" w:cs="Times New Roman"/>
          <w:sz w:val="24"/>
          <w:szCs w:val="24"/>
        </w:rPr>
      </w:pPr>
    </w:p>
    <w:p w14:paraId="5235BD86" w14:textId="77777777" w:rsidR="002F3B2B" w:rsidRPr="009B13F9" w:rsidRDefault="002F3B2B" w:rsidP="009B13F9">
      <w:pPr>
        <w:spacing w:line="480" w:lineRule="auto"/>
        <w:rPr>
          <w:rFonts w:ascii="Times New Roman" w:eastAsia="Times New Roman" w:hAnsi="Times New Roman" w:cs="Times New Roman"/>
          <w:b/>
          <w:bCs/>
          <w:sz w:val="24"/>
          <w:szCs w:val="24"/>
        </w:rPr>
      </w:pPr>
      <w:bookmarkStart w:id="181" w:name="_fxs1zagnj81h" w:colFirst="0" w:colLast="0"/>
      <w:bookmarkEnd w:id="181"/>
      <w:r w:rsidRPr="009B13F9">
        <w:rPr>
          <w:rFonts w:ascii="Times New Roman" w:eastAsia="Times New Roman" w:hAnsi="Times New Roman" w:cs="Times New Roman"/>
          <w:b/>
          <w:bCs/>
          <w:sz w:val="24"/>
          <w:szCs w:val="24"/>
        </w:rPr>
        <w:br w:type="page"/>
      </w:r>
    </w:p>
    <w:p w14:paraId="20060EA0" w14:textId="511FF639" w:rsidR="003D5428" w:rsidRPr="009B13F9" w:rsidRDefault="00000000" w:rsidP="009B13F9">
      <w:pPr>
        <w:pStyle w:val="Heading1"/>
        <w:spacing w:line="480" w:lineRule="auto"/>
        <w:jc w:val="center"/>
        <w:rPr>
          <w:rFonts w:ascii="Times New Roman" w:eastAsia="Times New Roman" w:hAnsi="Times New Roman" w:cs="Times New Roman"/>
          <w:b/>
          <w:bCs/>
          <w:sz w:val="24"/>
          <w:szCs w:val="24"/>
        </w:rPr>
      </w:pPr>
      <w:bookmarkStart w:id="182" w:name="_Toc235800251"/>
      <w:r w:rsidRPr="009B13F9">
        <w:rPr>
          <w:rFonts w:ascii="Times New Roman" w:eastAsia="Times New Roman" w:hAnsi="Times New Roman" w:cs="Times New Roman"/>
          <w:b/>
          <w:bCs/>
          <w:sz w:val="24"/>
          <w:szCs w:val="24"/>
        </w:rPr>
        <w:lastRenderedPageBreak/>
        <w:t>Appendix C</w:t>
      </w:r>
      <w:bookmarkEnd w:id="182"/>
    </w:p>
    <w:p w14:paraId="236BE35F" w14:textId="77777777" w:rsidR="003D5428" w:rsidRPr="009B13F9" w:rsidRDefault="00000000" w:rsidP="009B13F9">
      <w:pPr>
        <w:spacing w:after="80" w:line="480" w:lineRule="auto"/>
        <w:jc w:val="center"/>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Semi-Structured Interview Guide</w:t>
      </w:r>
    </w:p>
    <w:p w14:paraId="7CFE85C8" w14:textId="77777777" w:rsidR="003D5428" w:rsidRPr="009B13F9" w:rsidRDefault="00000000" w:rsidP="009B13F9">
      <w:pPr>
        <w:numPr>
          <w:ilvl w:val="0"/>
          <w:numId w:val="15"/>
        </w:numPr>
        <w:spacing w:before="24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Can you tell me the name of your country and the year of your MA journey at AUW?</w:t>
      </w:r>
    </w:p>
    <w:p w14:paraId="4B5F346E" w14:textId="1927CDE9" w:rsidR="003D5428" w:rsidRPr="009B13F9" w:rsidRDefault="00000000" w:rsidP="009B13F9">
      <w:pPr>
        <w:numPr>
          <w:ilvl w:val="0"/>
          <w:numId w:val="15"/>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Can you briefly describe your educational background before joining the MA in Education program </w:t>
      </w:r>
      <w:r w:rsidR="002C6915">
        <w:rPr>
          <w:rFonts w:ascii="Times New Roman" w:eastAsia="Times New Roman" w:hAnsi="Times New Roman" w:cs="Times New Roman"/>
          <w:sz w:val="24"/>
          <w:szCs w:val="24"/>
        </w:rPr>
        <w:t>here</w:t>
      </w:r>
      <w:r w:rsidRPr="009B13F9">
        <w:rPr>
          <w:rFonts w:ascii="Times New Roman" w:eastAsia="Times New Roman" w:hAnsi="Times New Roman" w:cs="Times New Roman"/>
          <w:sz w:val="24"/>
          <w:szCs w:val="24"/>
        </w:rPr>
        <w:t>?</w:t>
      </w:r>
    </w:p>
    <w:p w14:paraId="1E6B33A9" w14:textId="77777777" w:rsidR="003D5428" w:rsidRPr="009B13F9" w:rsidRDefault="00000000" w:rsidP="009B13F9">
      <w:pPr>
        <w:numPr>
          <w:ilvl w:val="0"/>
          <w:numId w:val="15"/>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How would you describe the teaching and learning style in your previous educational context?</w:t>
      </w:r>
    </w:p>
    <w:p w14:paraId="11A989C1" w14:textId="77777777" w:rsidR="003D5428" w:rsidRPr="009B13F9" w:rsidRDefault="00000000" w:rsidP="009B13F9">
      <w:pPr>
        <w:numPr>
          <w:ilvl w:val="0"/>
          <w:numId w:val="4"/>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When preparing for complex academic tasks (e.g., readings, assignments, exams), what strategies do you usually use?</w:t>
      </w:r>
    </w:p>
    <w:p w14:paraId="30165CCC" w14:textId="77777777" w:rsidR="003D5428" w:rsidRPr="009B13F9" w:rsidRDefault="00000000" w:rsidP="009B13F9">
      <w:pPr>
        <w:numPr>
          <w:ilvl w:val="0"/>
          <w:numId w:val="4"/>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How do you check whether you truly understand a topic?</w:t>
      </w:r>
    </w:p>
    <w:p w14:paraId="64F2D3FA" w14:textId="77777777" w:rsidR="003D5428" w:rsidRPr="009B13F9" w:rsidRDefault="00000000" w:rsidP="009B13F9">
      <w:pPr>
        <w:numPr>
          <w:ilvl w:val="0"/>
          <w:numId w:val="4"/>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What do you do if you realize you do not understand something?</w:t>
      </w:r>
    </w:p>
    <w:p w14:paraId="52BAFDCD" w14:textId="77777777" w:rsidR="003D5428" w:rsidRPr="009B13F9" w:rsidRDefault="00000000" w:rsidP="009B13F9">
      <w:pPr>
        <w:numPr>
          <w:ilvl w:val="0"/>
          <w:numId w:val="14"/>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Do you set goals before starting academic tasks? If yes, how?</w:t>
      </w:r>
    </w:p>
    <w:p w14:paraId="6AA79576" w14:textId="77777777" w:rsidR="003D5428" w:rsidRPr="009B13F9" w:rsidRDefault="00000000" w:rsidP="009B13F9">
      <w:pPr>
        <w:numPr>
          <w:ilvl w:val="0"/>
          <w:numId w:val="14"/>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Have you changed or adjusted your learning strategies since joining this program? Can you give an example?</w:t>
      </w:r>
    </w:p>
    <w:p w14:paraId="3A1DB09A" w14:textId="77777777" w:rsidR="003D5428" w:rsidRPr="009B13F9" w:rsidRDefault="00000000" w:rsidP="009B13F9">
      <w:pPr>
        <w:numPr>
          <w:ilvl w:val="0"/>
          <w:numId w:val="2"/>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Do you think your previous educational or cultural background influences how you learn? In what ways?</w:t>
      </w:r>
    </w:p>
    <w:p w14:paraId="200CCA88" w14:textId="77777777" w:rsidR="003D5428" w:rsidRPr="009B13F9" w:rsidRDefault="00000000" w:rsidP="009B13F9">
      <w:pPr>
        <w:numPr>
          <w:ilvl w:val="0"/>
          <w:numId w:val="2"/>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Have you noticed differences in how classmates from different backgrounds approach learning?</w:t>
      </w:r>
    </w:p>
    <w:p w14:paraId="25C27AEE" w14:textId="77777777" w:rsidR="003D5428" w:rsidRPr="009B13F9" w:rsidRDefault="00000000" w:rsidP="009B13F9">
      <w:pPr>
        <w:numPr>
          <w:ilvl w:val="0"/>
          <w:numId w:val="2"/>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How do class discussions or collaborative activities influence your understanding of course materials?</w:t>
      </w:r>
    </w:p>
    <w:p w14:paraId="30F2C6CB" w14:textId="77777777" w:rsidR="003D5428" w:rsidRPr="009B13F9" w:rsidRDefault="00000000" w:rsidP="009B13F9">
      <w:pPr>
        <w:numPr>
          <w:ilvl w:val="0"/>
          <w:numId w:val="12"/>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Overall, do you think studying in a multicultural classroom has changed how you think about your learning process? How?</w:t>
      </w:r>
    </w:p>
    <w:p w14:paraId="6CC1146A" w14:textId="77777777" w:rsidR="003D5428" w:rsidRPr="009B13F9" w:rsidRDefault="00000000" w:rsidP="009B13F9">
      <w:pPr>
        <w:numPr>
          <w:ilvl w:val="0"/>
          <w:numId w:val="12"/>
        </w:numPr>
        <w:spacing w:after="24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Is there anything else you would like to share about your learning experience?</w:t>
      </w:r>
    </w:p>
    <w:p w14:paraId="463908F7" w14:textId="77777777" w:rsidR="003D5428" w:rsidRPr="009B13F9" w:rsidRDefault="00000000" w:rsidP="009B13F9">
      <w:pPr>
        <w:pStyle w:val="Heading1"/>
        <w:spacing w:line="480" w:lineRule="auto"/>
        <w:jc w:val="center"/>
        <w:rPr>
          <w:rFonts w:ascii="Times New Roman" w:eastAsia="Times New Roman" w:hAnsi="Times New Roman" w:cs="Times New Roman"/>
          <w:b/>
          <w:bCs/>
          <w:sz w:val="24"/>
          <w:szCs w:val="24"/>
        </w:rPr>
      </w:pPr>
      <w:bookmarkStart w:id="183" w:name="_er020si0ggsp" w:colFirst="0" w:colLast="0"/>
      <w:bookmarkStart w:id="184" w:name="_Toc235800252"/>
      <w:bookmarkEnd w:id="183"/>
      <w:r w:rsidRPr="009B13F9">
        <w:rPr>
          <w:rFonts w:ascii="Times New Roman" w:eastAsia="Times New Roman" w:hAnsi="Times New Roman" w:cs="Times New Roman"/>
          <w:b/>
          <w:bCs/>
          <w:sz w:val="24"/>
          <w:szCs w:val="24"/>
        </w:rPr>
        <w:lastRenderedPageBreak/>
        <w:t>Appendix D</w:t>
      </w:r>
      <w:bookmarkEnd w:id="184"/>
    </w:p>
    <w:p w14:paraId="1519B949" w14:textId="77777777" w:rsidR="003D5428" w:rsidRPr="009B13F9" w:rsidRDefault="00000000" w:rsidP="009B13F9">
      <w:pPr>
        <w:spacing w:line="480" w:lineRule="auto"/>
        <w:jc w:val="center"/>
        <w:rPr>
          <w:rFonts w:ascii="Times New Roman" w:eastAsia="Times New Roman" w:hAnsi="Times New Roman" w:cs="Times New Roman"/>
          <w:b/>
          <w:bCs/>
          <w:sz w:val="24"/>
          <w:szCs w:val="24"/>
        </w:rPr>
      </w:pPr>
      <w:r w:rsidRPr="009B13F9">
        <w:rPr>
          <w:rFonts w:ascii="Times New Roman" w:eastAsia="Times New Roman" w:hAnsi="Times New Roman" w:cs="Times New Roman"/>
          <w:b/>
          <w:bCs/>
          <w:sz w:val="24"/>
          <w:szCs w:val="24"/>
        </w:rPr>
        <w:t>Photovoice Activity Prompts</w:t>
      </w:r>
    </w:p>
    <w:p w14:paraId="16E5D8EC" w14:textId="77777777" w:rsidR="003D5428" w:rsidRPr="009B13F9" w:rsidRDefault="00000000" w:rsidP="009B13F9">
      <w:pPr>
        <w:numPr>
          <w:ilvl w:val="0"/>
          <w:numId w:val="17"/>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Do you agree to participate in this photovoice activity?</w:t>
      </w:r>
    </w:p>
    <w:p w14:paraId="0ABFA071" w14:textId="77777777" w:rsidR="003D5428" w:rsidRPr="009B13F9" w:rsidRDefault="00000000" w:rsidP="009B13F9">
      <w:pPr>
        <w:numPr>
          <w:ilvl w:val="0"/>
          <w:numId w:val="17"/>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Preferred Name</w:t>
      </w:r>
    </w:p>
    <w:p w14:paraId="747AC632" w14:textId="77777777" w:rsidR="003D5428" w:rsidRPr="009B13F9" w:rsidRDefault="00000000" w:rsidP="009B13F9">
      <w:pPr>
        <w:numPr>
          <w:ilvl w:val="0"/>
          <w:numId w:val="17"/>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Year of MA</w:t>
      </w:r>
    </w:p>
    <w:p w14:paraId="25126061" w14:textId="77777777" w:rsidR="003D5428" w:rsidRPr="009B13F9" w:rsidRDefault="00000000" w:rsidP="009B13F9">
      <w:pPr>
        <w:numPr>
          <w:ilvl w:val="0"/>
          <w:numId w:val="17"/>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Upload Your Image</w:t>
      </w:r>
    </w:p>
    <w:p w14:paraId="4D083896" w14:textId="77777777" w:rsidR="003D5428" w:rsidRPr="009B13F9" w:rsidRDefault="00000000" w:rsidP="009B13F9">
      <w:pPr>
        <w:numPr>
          <w:ilvl w:val="0"/>
          <w:numId w:val="17"/>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What is shown in your image/images?</w:t>
      </w:r>
    </w:p>
    <w:p w14:paraId="4F6FBA0B" w14:textId="77777777" w:rsidR="003D5428" w:rsidRPr="009B13F9" w:rsidRDefault="00000000" w:rsidP="009B13F9">
      <w:pPr>
        <w:numPr>
          <w:ilvl w:val="0"/>
          <w:numId w:val="17"/>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Why did you choose this image? What does it represent about your learning process?</w:t>
      </w:r>
    </w:p>
    <w:p w14:paraId="0C4112E3" w14:textId="77777777" w:rsidR="003D5428" w:rsidRPr="009B13F9" w:rsidRDefault="00000000" w:rsidP="009B13F9">
      <w:pPr>
        <w:numPr>
          <w:ilvl w:val="0"/>
          <w:numId w:val="17"/>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Do you think this image reflects anything about your educational or cultural background? If yes, how?  </w:t>
      </w:r>
    </w:p>
    <w:p w14:paraId="18B1F220" w14:textId="77777777" w:rsidR="002F3B2B" w:rsidRPr="009B13F9" w:rsidRDefault="002F3B2B" w:rsidP="009B13F9">
      <w:pPr>
        <w:spacing w:line="480" w:lineRule="auto"/>
        <w:rPr>
          <w:rFonts w:ascii="Times New Roman" w:eastAsia="Times New Roman" w:hAnsi="Times New Roman" w:cs="Times New Roman"/>
          <w:b/>
          <w:bCs/>
          <w:sz w:val="24"/>
          <w:szCs w:val="24"/>
        </w:rPr>
      </w:pPr>
      <w:bookmarkStart w:id="185" w:name="_ymvr29ih4lsl" w:colFirst="0" w:colLast="0"/>
      <w:bookmarkEnd w:id="185"/>
      <w:r w:rsidRPr="009B13F9">
        <w:rPr>
          <w:rFonts w:ascii="Times New Roman" w:eastAsia="Times New Roman" w:hAnsi="Times New Roman" w:cs="Times New Roman"/>
          <w:b/>
          <w:bCs/>
          <w:sz w:val="24"/>
          <w:szCs w:val="24"/>
        </w:rPr>
        <w:br w:type="page"/>
      </w:r>
    </w:p>
    <w:p w14:paraId="377E4E9B" w14:textId="72B4AF31" w:rsidR="003D5428" w:rsidRPr="009B13F9" w:rsidRDefault="00000000" w:rsidP="009B13F9">
      <w:pPr>
        <w:pStyle w:val="Heading1"/>
        <w:spacing w:line="480" w:lineRule="auto"/>
        <w:jc w:val="center"/>
        <w:rPr>
          <w:rFonts w:ascii="Times New Roman" w:eastAsia="Times New Roman" w:hAnsi="Times New Roman" w:cs="Times New Roman"/>
          <w:b/>
          <w:bCs/>
          <w:sz w:val="24"/>
          <w:szCs w:val="24"/>
        </w:rPr>
      </w:pPr>
      <w:bookmarkStart w:id="186" w:name="_Toc235800253"/>
      <w:r w:rsidRPr="009B13F9">
        <w:rPr>
          <w:rFonts w:ascii="Times New Roman" w:eastAsia="Times New Roman" w:hAnsi="Times New Roman" w:cs="Times New Roman"/>
          <w:b/>
          <w:bCs/>
          <w:sz w:val="24"/>
          <w:szCs w:val="24"/>
        </w:rPr>
        <w:lastRenderedPageBreak/>
        <w:t>Appendix E</w:t>
      </w:r>
      <w:bookmarkEnd w:id="186"/>
    </w:p>
    <w:p w14:paraId="039A565F" w14:textId="77777777" w:rsidR="003D5428" w:rsidRPr="009B13F9" w:rsidRDefault="00000000" w:rsidP="009B13F9">
      <w:pPr>
        <w:spacing w:after="80" w:line="480" w:lineRule="auto"/>
        <w:jc w:val="center"/>
        <w:rPr>
          <w:rFonts w:ascii="Times New Roman" w:eastAsia="Times New Roman" w:hAnsi="Times New Roman" w:cs="Times New Roman"/>
          <w:sz w:val="24"/>
          <w:szCs w:val="24"/>
        </w:rPr>
      </w:pPr>
      <w:r w:rsidRPr="009B13F9">
        <w:rPr>
          <w:rFonts w:ascii="Times New Roman" w:eastAsia="Times New Roman" w:hAnsi="Times New Roman" w:cs="Times New Roman"/>
          <w:b/>
          <w:bCs/>
          <w:sz w:val="24"/>
          <w:szCs w:val="24"/>
        </w:rPr>
        <w:t>Focus Group Discussion Guide</w:t>
      </w:r>
    </w:p>
    <w:p w14:paraId="52F0279E" w14:textId="77777777" w:rsidR="003D5428" w:rsidRPr="009B13F9" w:rsidRDefault="00000000" w:rsidP="009B13F9">
      <w:pPr>
        <w:numPr>
          <w:ilvl w:val="0"/>
          <w:numId w:val="7"/>
        </w:numPr>
        <w:spacing w:before="240"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How would you describe the learning culture in this MA program?</w:t>
      </w:r>
    </w:p>
    <w:p w14:paraId="622CBF93" w14:textId="77777777" w:rsidR="003D5428" w:rsidRPr="009B13F9" w:rsidRDefault="00000000" w:rsidP="009B13F9">
      <w:pPr>
        <w:numPr>
          <w:ilvl w:val="0"/>
          <w:numId w:val="7"/>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Do students from different educational backgrounds approach assignments differently? Can you share examples?</w:t>
      </w:r>
    </w:p>
    <w:p w14:paraId="69BE48CF" w14:textId="77777777" w:rsidR="003D5428" w:rsidRPr="009B13F9" w:rsidRDefault="00000000" w:rsidP="009B13F9">
      <w:pPr>
        <w:numPr>
          <w:ilvl w:val="0"/>
          <w:numId w:val="1"/>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Have you ever changed your learning strategy after interacting with classmates? What influenced that change?</w:t>
      </w:r>
    </w:p>
    <w:p w14:paraId="43FC284E" w14:textId="77777777" w:rsidR="003D5428" w:rsidRPr="009B13F9" w:rsidRDefault="00000000" w:rsidP="009B13F9">
      <w:pPr>
        <w:numPr>
          <w:ilvl w:val="0"/>
          <w:numId w:val="1"/>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How do group discussions or collaborative activities affect how you prepare for assignments or exams?</w:t>
      </w:r>
    </w:p>
    <w:p w14:paraId="3BA322E2" w14:textId="77777777" w:rsidR="003D5428" w:rsidRPr="009B13F9" w:rsidRDefault="00000000" w:rsidP="009B13F9">
      <w:pPr>
        <w:numPr>
          <w:ilvl w:val="0"/>
          <w:numId w:val="8"/>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What challenges have you faced adapting to this academic environment?</w:t>
      </w:r>
    </w:p>
    <w:p w14:paraId="7C7E1D2D" w14:textId="77777777" w:rsidR="003D5428" w:rsidRPr="009B13F9" w:rsidRDefault="00000000" w:rsidP="009B13F9">
      <w:pPr>
        <w:numPr>
          <w:ilvl w:val="0"/>
          <w:numId w:val="8"/>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How did you manage or overcome those challenges?</w:t>
      </w:r>
    </w:p>
    <w:p w14:paraId="0D3248D4" w14:textId="77777777" w:rsidR="003D5428" w:rsidRPr="009B13F9" w:rsidRDefault="00000000" w:rsidP="009B13F9">
      <w:pPr>
        <w:numPr>
          <w:ilvl w:val="0"/>
          <w:numId w:val="6"/>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Do you think studying in a multicultural classroom makes students more aware of how they learn? Why or why not?</w:t>
      </w:r>
    </w:p>
    <w:p w14:paraId="5D209BB2" w14:textId="35E02A90" w:rsidR="00E83567" w:rsidRPr="009B13F9" w:rsidRDefault="00000000" w:rsidP="009B13F9">
      <w:pPr>
        <w:numPr>
          <w:ilvl w:val="0"/>
          <w:numId w:val="6"/>
        </w:num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t xml:space="preserve">What has most influenced your development as a learner in this program?  </w:t>
      </w:r>
    </w:p>
    <w:p w14:paraId="73CDA13D" w14:textId="77777777" w:rsidR="00E83567" w:rsidRPr="009B13F9" w:rsidRDefault="00E83567" w:rsidP="009B13F9">
      <w:pPr>
        <w:spacing w:line="480" w:lineRule="auto"/>
        <w:rPr>
          <w:rFonts w:ascii="Times New Roman" w:eastAsia="Times New Roman" w:hAnsi="Times New Roman" w:cs="Times New Roman"/>
          <w:sz w:val="24"/>
          <w:szCs w:val="24"/>
        </w:rPr>
      </w:pPr>
      <w:r w:rsidRPr="009B13F9">
        <w:rPr>
          <w:rFonts w:ascii="Times New Roman" w:eastAsia="Times New Roman" w:hAnsi="Times New Roman" w:cs="Times New Roman"/>
          <w:sz w:val="24"/>
          <w:szCs w:val="24"/>
        </w:rPr>
        <w:br w:type="page"/>
      </w:r>
    </w:p>
    <w:p w14:paraId="29C64209" w14:textId="18F3A06C" w:rsidR="003D5428" w:rsidRPr="009B13F9" w:rsidRDefault="00E83567" w:rsidP="009B13F9">
      <w:pPr>
        <w:pStyle w:val="Heading1"/>
        <w:spacing w:line="480" w:lineRule="auto"/>
        <w:jc w:val="center"/>
        <w:rPr>
          <w:rFonts w:ascii="Times New Roman" w:hAnsi="Times New Roman" w:cs="Times New Roman"/>
          <w:b/>
          <w:bCs/>
          <w:sz w:val="24"/>
          <w:szCs w:val="24"/>
        </w:rPr>
      </w:pPr>
      <w:bookmarkStart w:id="187" w:name="_Toc235800254"/>
      <w:r w:rsidRPr="009B13F9">
        <w:rPr>
          <w:rFonts w:ascii="Times New Roman" w:hAnsi="Times New Roman" w:cs="Times New Roman"/>
          <w:b/>
          <w:bCs/>
          <w:sz w:val="24"/>
          <w:szCs w:val="24"/>
        </w:rPr>
        <w:lastRenderedPageBreak/>
        <w:t>Appendix F</w:t>
      </w:r>
      <w:bookmarkEnd w:id="187"/>
    </w:p>
    <w:p w14:paraId="031E44D6" w14:textId="4C016CB5" w:rsidR="00E83567" w:rsidRPr="009B13F9" w:rsidRDefault="00E83567" w:rsidP="009B13F9">
      <w:pPr>
        <w:spacing w:line="480" w:lineRule="auto"/>
        <w:jc w:val="center"/>
        <w:rPr>
          <w:rFonts w:ascii="Times New Roman" w:hAnsi="Times New Roman" w:cs="Times New Roman"/>
          <w:b/>
          <w:bCs/>
          <w:sz w:val="24"/>
          <w:szCs w:val="24"/>
        </w:rPr>
      </w:pPr>
      <w:r w:rsidRPr="009B13F9">
        <w:rPr>
          <w:rFonts w:ascii="Times New Roman" w:hAnsi="Times New Roman" w:cs="Times New Roman"/>
          <w:b/>
          <w:bCs/>
          <w:sz w:val="24"/>
          <w:szCs w:val="24"/>
        </w:rPr>
        <w:t>Select</w:t>
      </w:r>
      <w:r w:rsidR="009B13F9">
        <w:rPr>
          <w:rFonts w:ascii="Times New Roman" w:hAnsi="Times New Roman" w:cs="Times New Roman"/>
          <w:b/>
          <w:bCs/>
          <w:sz w:val="24"/>
          <w:szCs w:val="24"/>
        </w:rPr>
        <w:t>ive</w:t>
      </w:r>
      <w:r w:rsidRPr="009B13F9">
        <w:rPr>
          <w:rFonts w:ascii="Times New Roman" w:hAnsi="Times New Roman" w:cs="Times New Roman"/>
          <w:b/>
          <w:bCs/>
          <w:sz w:val="24"/>
          <w:szCs w:val="24"/>
        </w:rPr>
        <w:t xml:space="preserve"> PhotoVoice Images</w:t>
      </w:r>
    </w:p>
    <w:p w14:paraId="4B032BAA" w14:textId="2C819AD9" w:rsidR="00E83567" w:rsidRPr="009B13F9" w:rsidRDefault="00E83567" w:rsidP="009B13F9">
      <w:pPr>
        <w:spacing w:line="480" w:lineRule="auto"/>
        <w:rPr>
          <w:rFonts w:ascii="Times New Roman" w:hAnsi="Times New Roman" w:cs="Times New Roman"/>
          <w:i/>
          <w:iCs/>
          <w:sz w:val="24"/>
          <w:szCs w:val="24"/>
        </w:rPr>
      </w:pPr>
      <w:r w:rsidRPr="009B13F9">
        <w:rPr>
          <w:rFonts w:ascii="Times New Roman" w:hAnsi="Times New Roman" w:cs="Times New Roman"/>
          <w:i/>
          <w:iCs/>
          <w:sz w:val="24"/>
          <w:szCs w:val="24"/>
        </w:rPr>
        <w:t>The participants voluntarily submitted the following photographs during the photovoice activity. Photos with identifying information have been removed or altered to preserve participant privacy. The photographs are presented with participants' permission, and are included to illustrate learning environments and artifacts that are referred to in Chapter 4.</w:t>
      </w:r>
    </w:p>
    <w:p w14:paraId="34AAE2CF" w14:textId="499B4253" w:rsidR="00E83567" w:rsidRPr="009B13F9" w:rsidRDefault="00E83567" w:rsidP="009B13F9">
      <w:pPr>
        <w:pStyle w:val="Heading2"/>
        <w:spacing w:line="480" w:lineRule="auto"/>
        <w:rPr>
          <w:rFonts w:ascii="Times New Roman" w:hAnsi="Times New Roman" w:cs="Times New Roman"/>
          <w:b/>
          <w:bCs/>
          <w:sz w:val="24"/>
          <w:szCs w:val="24"/>
        </w:rPr>
      </w:pPr>
      <w:bookmarkStart w:id="188" w:name="_Toc235800255"/>
      <w:r w:rsidRPr="009B13F9">
        <w:rPr>
          <w:rFonts w:ascii="Times New Roman" w:hAnsi="Times New Roman" w:cs="Times New Roman"/>
          <w:b/>
          <w:bCs/>
          <w:sz w:val="24"/>
          <w:szCs w:val="24"/>
        </w:rPr>
        <w:t>Figure F1</w:t>
      </w:r>
      <w:bookmarkEnd w:id="188"/>
    </w:p>
    <w:p w14:paraId="5B9FE70A" w14:textId="3983E97F" w:rsidR="00E83567" w:rsidRPr="009B13F9" w:rsidRDefault="00580672" w:rsidP="009B13F9">
      <w:pPr>
        <w:spacing w:line="480" w:lineRule="auto"/>
        <w:rPr>
          <w:rFonts w:ascii="Times New Roman" w:hAnsi="Times New Roman" w:cs="Times New Roman"/>
          <w:i/>
          <w:iCs/>
          <w:sz w:val="24"/>
          <w:szCs w:val="24"/>
        </w:rPr>
      </w:pPr>
      <w:r w:rsidRPr="009B13F9">
        <w:rPr>
          <w:rFonts w:ascii="Times New Roman" w:hAnsi="Times New Roman" w:cs="Times New Roman"/>
          <w:i/>
          <w:iCs/>
          <w:sz w:val="24"/>
          <w:szCs w:val="24"/>
        </w:rPr>
        <w:t>Organized study/workspace of a participant</w:t>
      </w:r>
    </w:p>
    <w:p w14:paraId="22FE3C8B" w14:textId="7D52FF6E" w:rsidR="00E83567" w:rsidRPr="00E83567" w:rsidRDefault="00E83567" w:rsidP="009B13F9">
      <w:pPr>
        <w:spacing w:line="480" w:lineRule="auto"/>
        <w:rPr>
          <w:rFonts w:ascii="Times New Roman" w:hAnsi="Times New Roman" w:cs="Times New Roman"/>
          <w:sz w:val="24"/>
          <w:szCs w:val="24"/>
          <w:lang w:val="en-US"/>
        </w:rPr>
      </w:pPr>
      <w:r w:rsidRPr="009B13F9">
        <w:rPr>
          <w:rFonts w:ascii="Times New Roman" w:hAnsi="Times New Roman" w:cs="Times New Roman"/>
          <w:noProof/>
          <w:sz w:val="24"/>
          <w:szCs w:val="24"/>
          <w:lang w:val="en-US"/>
        </w:rPr>
        <w:drawing>
          <wp:inline distT="0" distB="0" distL="0" distR="0" wp14:anchorId="2AC6AD97" wp14:editId="1AF1E65F">
            <wp:extent cx="4800600" cy="3600450"/>
            <wp:effectExtent l="0" t="0" r="0" b="0"/>
            <wp:docPr id="1433277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19147" cy="3614360"/>
                    </a:xfrm>
                    <a:prstGeom prst="rect">
                      <a:avLst/>
                    </a:prstGeom>
                    <a:noFill/>
                    <a:ln>
                      <a:noFill/>
                    </a:ln>
                  </pic:spPr>
                </pic:pic>
              </a:graphicData>
            </a:graphic>
          </wp:inline>
        </w:drawing>
      </w:r>
    </w:p>
    <w:p w14:paraId="6BA4D975" w14:textId="4D079B05" w:rsidR="00E83567" w:rsidRPr="009B13F9" w:rsidRDefault="00E83567" w:rsidP="009B13F9">
      <w:pPr>
        <w:spacing w:line="480" w:lineRule="auto"/>
        <w:rPr>
          <w:rFonts w:ascii="Times New Roman" w:hAnsi="Times New Roman" w:cs="Times New Roman"/>
          <w:sz w:val="24"/>
          <w:szCs w:val="24"/>
        </w:rPr>
      </w:pPr>
      <w:r w:rsidRPr="009B13F9">
        <w:rPr>
          <w:rFonts w:ascii="Times New Roman" w:hAnsi="Times New Roman" w:cs="Times New Roman"/>
          <w:b/>
          <w:bCs/>
          <w:sz w:val="24"/>
          <w:szCs w:val="24"/>
        </w:rPr>
        <w:t xml:space="preserve">Note. </w:t>
      </w:r>
      <w:r w:rsidRPr="009B13F9">
        <w:rPr>
          <w:rFonts w:ascii="Times New Roman" w:hAnsi="Times New Roman" w:cs="Times New Roman"/>
          <w:sz w:val="24"/>
          <w:szCs w:val="24"/>
        </w:rPr>
        <w:t>This picture shows an organized study space with sticky notes, filing cabinets, laptop, alarm clocks, artificial flowers, water bottle and painting.</w:t>
      </w:r>
    </w:p>
    <w:p w14:paraId="37D2F35F" w14:textId="77777777" w:rsidR="00E83567" w:rsidRPr="009B13F9" w:rsidRDefault="00E83567" w:rsidP="009B13F9">
      <w:pPr>
        <w:spacing w:line="480" w:lineRule="auto"/>
        <w:rPr>
          <w:rFonts w:ascii="Times New Roman" w:hAnsi="Times New Roman" w:cs="Times New Roman"/>
          <w:sz w:val="24"/>
          <w:szCs w:val="24"/>
        </w:rPr>
      </w:pPr>
      <w:r w:rsidRPr="009B13F9">
        <w:rPr>
          <w:rFonts w:ascii="Times New Roman" w:hAnsi="Times New Roman" w:cs="Times New Roman"/>
          <w:sz w:val="24"/>
          <w:szCs w:val="24"/>
        </w:rPr>
        <w:br w:type="page"/>
      </w:r>
    </w:p>
    <w:p w14:paraId="1E76C245" w14:textId="4C44F1EA" w:rsidR="00E83567" w:rsidRPr="009B13F9" w:rsidRDefault="00E83567" w:rsidP="009B13F9">
      <w:pPr>
        <w:pStyle w:val="Heading2"/>
        <w:spacing w:line="480" w:lineRule="auto"/>
        <w:rPr>
          <w:rFonts w:ascii="Times New Roman" w:hAnsi="Times New Roman" w:cs="Times New Roman"/>
          <w:b/>
          <w:bCs/>
          <w:sz w:val="24"/>
          <w:szCs w:val="24"/>
        </w:rPr>
      </w:pPr>
      <w:bookmarkStart w:id="189" w:name="_Toc235800256"/>
      <w:r w:rsidRPr="009B13F9">
        <w:rPr>
          <w:rFonts w:ascii="Times New Roman" w:hAnsi="Times New Roman" w:cs="Times New Roman"/>
          <w:b/>
          <w:bCs/>
          <w:sz w:val="24"/>
          <w:szCs w:val="24"/>
        </w:rPr>
        <w:lastRenderedPageBreak/>
        <w:t>Figure F2</w:t>
      </w:r>
      <w:bookmarkEnd w:id="189"/>
    </w:p>
    <w:p w14:paraId="14D50A36" w14:textId="37CB5721" w:rsidR="00580672" w:rsidRPr="009B13F9" w:rsidRDefault="00580672" w:rsidP="009B13F9">
      <w:pPr>
        <w:spacing w:line="480" w:lineRule="auto"/>
        <w:rPr>
          <w:rFonts w:ascii="Times New Roman" w:hAnsi="Times New Roman" w:cs="Times New Roman"/>
          <w:i/>
          <w:iCs/>
          <w:sz w:val="24"/>
          <w:szCs w:val="24"/>
        </w:rPr>
      </w:pPr>
      <w:r w:rsidRPr="009B13F9">
        <w:rPr>
          <w:rFonts w:ascii="Times New Roman" w:hAnsi="Times New Roman" w:cs="Times New Roman"/>
          <w:i/>
          <w:iCs/>
          <w:sz w:val="24"/>
          <w:szCs w:val="24"/>
        </w:rPr>
        <w:t>Self care items added to the study/workspace cluster of a participant</w:t>
      </w:r>
    </w:p>
    <w:p w14:paraId="69F6B542" w14:textId="2DA8F08A" w:rsidR="00E83567" w:rsidRPr="00E83567" w:rsidRDefault="00E83567" w:rsidP="009B13F9">
      <w:pPr>
        <w:spacing w:line="480" w:lineRule="auto"/>
        <w:rPr>
          <w:rFonts w:ascii="Times New Roman" w:hAnsi="Times New Roman" w:cs="Times New Roman"/>
          <w:sz w:val="24"/>
          <w:szCs w:val="24"/>
          <w:lang w:val="en-US"/>
        </w:rPr>
      </w:pPr>
      <w:r w:rsidRPr="009B13F9">
        <w:rPr>
          <w:rFonts w:ascii="Times New Roman" w:hAnsi="Times New Roman" w:cs="Times New Roman"/>
          <w:noProof/>
          <w:sz w:val="24"/>
          <w:szCs w:val="24"/>
          <w:lang w:val="en-US"/>
        </w:rPr>
        <w:drawing>
          <wp:inline distT="0" distB="0" distL="0" distR="0" wp14:anchorId="1AAC95AC" wp14:editId="2FBA58EA">
            <wp:extent cx="5594325" cy="4200525"/>
            <wp:effectExtent l="0" t="0" r="6985" b="0"/>
            <wp:docPr id="423042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597449" cy="4202871"/>
                    </a:xfrm>
                    <a:prstGeom prst="rect">
                      <a:avLst/>
                    </a:prstGeom>
                    <a:noFill/>
                    <a:ln>
                      <a:noFill/>
                    </a:ln>
                  </pic:spPr>
                </pic:pic>
              </a:graphicData>
            </a:graphic>
          </wp:inline>
        </w:drawing>
      </w:r>
    </w:p>
    <w:p w14:paraId="2D80E598" w14:textId="12BF2B15" w:rsidR="00E83567" w:rsidRPr="009B13F9" w:rsidRDefault="00E83567" w:rsidP="009B13F9">
      <w:pPr>
        <w:spacing w:line="480" w:lineRule="auto"/>
        <w:rPr>
          <w:rFonts w:ascii="Times New Roman" w:hAnsi="Times New Roman" w:cs="Times New Roman"/>
          <w:sz w:val="24"/>
          <w:szCs w:val="24"/>
        </w:rPr>
      </w:pPr>
      <w:r w:rsidRPr="009B13F9">
        <w:rPr>
          <w:rFonts w:ascii="Times New Roman" w:hAnsi="Times New Roman" w:cs="Times New Roman"/>
          <w:b/>
          <w:bCs/>
          <w:sz w:val="24"/>
          <w:szCs w:val="24"/>
        </w:rPr>
        <w:t>Note.</w:t>
      </w:r>
      <w:r w:rsidRPr="009B13F9">
        <w:rPr>
          <w:rFonts w:ascii="Times New Roman" w:hAnsi="Times New Roman" w:cs="Times New Roman"/>
          <w:sz w:val="24"/>
          <w:szCs w:val="24"/>
        </w:rPr>
        <w:t xml:space="preserve"> This picture shows scattered notebooks, laptop, lipgloss, lipliner, </w:t>
      </w:r>
      <w:r w:rsidR="002C6915">
        <w:rPr>
          <w:rFonts w:ascii="Times New Roman" w:hAnsi="Times New Roman" w:cs="Times New Roman"/>
          <w:sz w:val="24"/>
          <w:szCs w:val="24"/>
        </w:rPr>
        <w:t xml:space="preserve">tablets, </w:t>
      </w:r>
      <w:r w:rsidRPr="009B13F9">
        <w:rPr>
          <w:rFonts w:ascii="Times New Roman" w:hAnsi="Times New Roman" w:cs="Times New Roman"/>
          <w:sz w:val="24"/>
          <w:szCs w:val="24"/>
        </w:rPr>
        <w:t>pencil-case, files, notebooks, water bottle and headphones.</w:t>
      </w:r>
    </w:p>
    <w:p w14:paraId="7E4B30B5" w14:textId="77777777" w:rsidR="00E83567" w:rsidRPr="009B13F9" w:rsidRDefault="00E83567" w:rsidP="009B13F9">
      <w:pPr>
        <w:spacing w:line="480" w:lineRule="auto"/>
        <w:rPr>
          <w:rFonts w:ascii="Times New Roman" w:hAnsi="Times New Roman" w:cs="Times New Roman"/>
          <w:sz w:val="24"/>
          <w:szCs w:val="24"/>
        </w:rPr>
      </w:pPr>
      <w:r w:rsidRPr="009B13F9">
        <w:rPr>
          <w:rFonts w:ascii="Times New Roman" w:hAnsi="Times New Roman" w:cs="Times New Roman"/>
          <w:sz w:val="24"/>
          <w:szCs w:val="24"/>
        </w:rPr>
        <w:br w:type="page"/>
      </w:r>
    </w:p>
    <w:p w14:paraId="592D7F9E" w14:textId="77777777" w:rsidR="00E83567" w:rsidRPr="009B13F9" w:rsidRDefault="00E83567" w:rsidP="009B13F9">
      <w:pPr>
        <w:pStyle w:val="Heading2"/>
        <w:spacing w:line="480" w:lineRule="auto"/>
        <w:rPr>
          <w:rFonts w:ascii="Times New Roman" w:hAnsi="Times New Roman" w:cs="Times New Roman"/>
          <w:b/>
          <w:bCs/>
          <w:sz w:val="24"/>
          <w:szCs w:val="24"/>
        </w:rPr>
      </w:pPr>
      <w:bookmarkStart w:id="190" w:name="_Toc235800257"/>
      <w:r w:rsidRPr="009B13F9">
        <w:rPr>
          <w:rFonts w:ascii="Times New Roman" w:hAnsi="Times New Roman" w:cs="Times New Roman"/>
          <w:b/>
          <w:bCs/>
          <w:sz w:val="24"/>
          <w:szCs w:val="24"/>
        </w:rPr>
        <w:lastRenderedPageBreak/>
        <w:t>Figure F3</w:t>
      </w:r>
      <w:bookmarkEnd w:id="190"/>
    </w:p>
    <w:p w14:paraId="304B46E7" w14:textId="0874A5EA" w:rsidR="00E83567" w:rsidRPr="009B13F9" w:rsidRDefault="00580672" w:rsidP="009B13F9">
      <w:pPr>
        <w:spacing w:line="480" w:lineRule="auto"/>
        <w:rPr>
          <w:rFonts w:ascii="Times New Roman" w:hAnsi="Times New Roman" w:cs="Times New Roman"/>
          <w:i/>
          <w:iCs/>
          <w:sz w:val="24"/>
          <w:szCs w:val="24"/>
        </w:rPr>
      </w:pPr>
      <w:r w:rsidRPr="009B13F9">
        <w:rPr>
          <w:rFonts w:ascii="Times New Roman" w:hAnsi="Times New Roman" w:cs="Times New Roman"/>
          <w:i/>
          <w:iCs/>
          <w:sz w:val="24"/>
          <w:szCs w:val="24"/>
        </w:rPr>
        <w:t>Mindmap on a notebook of a participant</w:t>
      </w:r>
    </w:p>
    <w:p w14:paraId="27C4692C" w14:textId="7D0C23DF" w:rsidR="009B13F9" w:rsidRPr="009B13F9" w:rsidRDefault="009B13F9" w:rsidP="009B13F9">
      <w:pPr>
        <w:spacing w:line="480" w:lineRule="auto"/>
        <w:rPr>
          <w:rFonts w:ascii="Times New Roman" w:hAnsi="Times New Roman" w:cs="Times New Roman"/>
          <w:sz w:val="24"/>
          <w:szCs w:val="24"/>
          <w:lang w:val="en-US"/>
        </w:rPr>
      </w:pPr>
      <w:r w:rsidRPr="009B13F9">
        <w:rPr>
          <w:rFonts w:ascii="Times New Roman" w:hAnsi="Times New Roman" w:cs="Times New Roman"/>
          <w:noProof/>
          <w:sz w:val="24"/>
          <w:szCs w:val="24"/>
          <w:lang w:val="en-US"/>
        </w:rPr>
        <w:drawing>
          <wp:inline distT="0" distB="0" distL="0" distR="0" wp14:anchorId="5E1A087C" wp14:editId="6DB4458D">
            <wp:extent cx="5943600" cy="5490845"/>
            <wp:effectExtent l="0" t="0" r="0" b="0"/>
            <wp:docPr id="6250501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3600" cy="5490845"/>
                    </a:xfrm>
                    <a:prstGeom prst="rect">
                      <a:avLst/>
                    </a:prstGeom>
                    <a:noFill/>
                    <a:ln>
                      <a:noFill/>
                    </a:ln>
                  </pic:spPr>
                </pic:pic>
              </a:graphicData>
            </a:graphic>
          </wp:inline>
        </w:drawing>
      </w:r>
    </w:p>
    <w:p w14:paraId="76D88795" w14:textId="59F9C174" w:rsidR="009B13F9" w:rsidRPr="002C6915" w:rsidRDefault="009B13F9" w:rsidP="002C6915">
      <w:pPr>
        <w:spacing w:line="480" w:lineRule="auto"/>
        <w:rPr>
          <w:rFonts w:ascii="Times New Roman" w:hAnsi="Times New Roman" w:cs="Times New Roman"/>
          <w:sz w:val="24"/>
          <w:szCs w:val="24"/>
        </w:rPr>
      </w:pPr>
      <w:r w:rsidRPr="009B13F9">
        <w:rPr>
          <w:rFonts w:ascii="Times New Roman" w:hAnsi="Times New Roman" w:cs="Times New Roman"/>
          <w:b/>
          <w:bCs/>
          <w:sz w:val="24"/>
          <w:szCs w:val="24"/>
        </w:rPr>
        <w:t xml:space="preserve">Note. </w:t>
      </w:r>
      <w:r w:rsidRPr="009B13F9">
        <w:rPr>
          <w:rFonts w:ascii="Times New Roman" w:hAnsi="Times New Roman" w:cs="Times New Roman"/>
          <w:sz w:val="24"/>
          <w:szCs w:val="24"/>
        </w:rPr>
        <w:t>The picture shows a mindmap of educational leadership philosophy and note-taking of a participant</w:t>
      </w:r>
    </w:p>
    <w:sectPr w:rsidR="009B13F9" w:rsidRPr="002C6915">
      <w:headerReference w:type="default" r:id="rId8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3522E" w14:textId="77777777" w:rsidR="00063A66" w:rsidRDefault="00063A66">
      <w:pPr>
        <w:spacing w:line="240" w:lineRule="auto"/>
      </w:pPr>
      <w:r>
        <w:separator/>
      </w:r>
    </w:p>
  </w:endnote>
  <w:endnote w:type="continuationSeparator" w:id="0">
    <w:p w14:paraId="3DEFB5F1" w14:textId="77777777" w:rsidR="00063A66" w:rsidRDefault="00063A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E20C66A-E07A-4847-8A5D-381596D50983}"/>
  </w:font>
  <w:font w:name="Cambria">
    <w:panose1 w:val="02040503050406030204"/>
    <w:charset w:val="00"/>
    <w:family w:val="roman"/>
    <w:pitch w:val="variable"/>
    <w:sig w:usb0="E00006FF" w:usb1="420024FF" w:usb2="02000000" w:usb3="00000000" w:csb0="0000019F" w:csb1="00000000"/>
    <w:embedRegular r:id="rId2" w:fontKey="{8B4DBF1B-C2B5-4AD1-8518-100F59FCEBA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3B8BE" w14:textId="77777777" w:rsidR="00063A66" w:rsidRDefault="00063A66">
      <w:pPr>
        <w:spacing w:line="240" w:lineRule="auto"/>
      </w:pPr>
      <w:r>
        <w:separator/>
      </w:r>
    </w:p>
  </w:footnote>
  <w:footnote w:type="continuationSeparator" w:id="0">
    <w:p w14:paraId="479CCB4E" w14:textId="77777777" w:rsidR="00063A66" w:rsidRDefault="00063A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181061"/>
      <w:docPartObj>
        <w:docPartGallery w:val="Page Numbers (Top of Page)"/>
        <w:docPartUnique/>
      </w:docPartObj>
    </w:sdtPr>
    <w:sdtEndPr>
      <w:rPr>
        <w:rFonts w:ascii="Times New Roman" w:hAnsi="Times New Roman" w:cs="Times New Roman"/>
        <w:noProof/>
        <w:sz w:val="24"/>
        <w:szCs w:val="24"/>
      </w:rPr>
    </w:sdtEndPr>
    <w:sdtContent>
      <w:p w14:paraId="3A582976" w14:textId="11008409" w:rsidR="003A7C67" w:rsidRPr="003A7C67" w:rsidRDefault="003A7C67">
        <w:pPr>
          <w:pStyle w:val="Header"/>
          <w:jc w:val="right"/>
          <w:rPr>
            <w:rFonts w:ascii="Times New Roman" w:hAnsi="Times New Roman" w:cs="Times New Roman"/>
            <w:sz w:val="24"/>
            <w:szCs w:val="24"/>
          </w:rPr>
        </w:pPr>
        <w:r w:rsidRPr="003A7C67">
          <w:rPr>
            <w:rFonts w:ascii="Times New Roman" w:hAnsi="Times New Roman" w:cs="Times New Roman"/>
            <w:sz w:val="24"/>
            <w:szCs w:val="24"/>
          </w:rPr>
          <w:fldChar w:fldCharType="begin"/>
        </w:r>
        <w:r w:rsidRPr="003A7C67">
          <w:rPr>
            <w:rFonts w:ascii="Times New Roman" w:hAnsi="Times New Roman" w:cs="Times New Roman"/>
            <w:sz w:val="24"/>
            <w:szCs w:val="24"/>
          </w:rPr>
          <w:instrText xml:space="preserve"> PAGE   \* MERGEFORMAT </w:instrText>
        </w:r>
        <w:r w:rsidRPr="003A7C67">
          <w:rPr>
            <w:rFonts w:ascii="Times New Roman" w:hAnsi="Times New Roman" w:cs="Times New Roman"/>
            <w:sz w:val="24"/>
            <w:szCs w:val="24"/>
          </w:rPr>
          <w:fldChar w:fldCharType="separate"/>
        </w:r>
        <w:r w:rsidRPr="003A7C67">
          <w:rPr>
            <w:rFonts w:ascii="Times New Roman" w:hAnsi="Times New Roman" w:cs="Times New Roman"/>
            <w:noProof/>
            <w:sz w:val="24"/>
            <w:szCs w:val="24"/>
          </w:rPr>
          <w:t>2</w:t>
        </w:r>
        <w:r w:rsidRPr="003A7C67">
          <w:rPr>
            <w:rFonts w:ascii="Times New Roman" w:hAnsi="Times New Roman" w:cs="Times New Roman"/>
            <w:noProof/>
            <w:sz w:val="24"/>
            <w:szCs w:val="24"/>
          </w:rPr>
          <w:fldChar w:fldCharType="end"/>
        </w:r>
      </w:p>
    </w:sdtContent>
  </w:sdt>
  <w:p w14:paraId="57A9BEBF" w14:textId="77777777" w:rsidR="003D5428" w:rsidRDefault="003D54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236"/>
    <w:multiLevelType w:val="multilevel"/>
    <w:tmpl w:val="A05ECC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EB1C21"/>
    <w:multiLevelType w:val="multilevel"/>
    <w:tmpl w:val="C6402DD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85846B7"/>
    <w:multiLevelType w:val="multilevel"/>
    <w:tmpl w:val="47644F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150612F"/>
    <w:multiLevelType w:val="multilevel"/>
    <w:tmpl w:val="2774E3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6D475E7"/>
    <w:multiLevelType w:val="multilevel"/>
    <w:tmpl w:val="FEF213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5AD156F"/>
    <w:multiLevelType w:val="hybridMultilevel"/>
    <w:tmpl w:val="04CA26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EE7F93"/>
    <w:multiLevelType w:val="multilevel"/>
    <w:tmpl w:val="0BD2DF3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13F0D0F"/>
    <w:multiLevelType w:val="multilevel"/>
    <w:tmpl w:val="66F4323A"/>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3C0E383E"/>
    <w:multiLevelType w:val="multilevel"/>
    <w:tmpl w:val="DF569A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C5B27A7"/>
    <w:multiLevelType w:val="multilevel"/>
    <w:tmpl w:val="FC76FC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FD67CEC"/>
    <w:multiLevelType w:val="multilevel"/>
    <w:tmpl w:val="564C126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55D92749"/>
    <w:multiLevelType w:val="multilevel"/>
    <w:tmpl w:val="912AA4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D4B4DE8"/>
    <w:multiLevelType w:val="multilevel"/>
    <w:tmpl w:val="E8129A1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5E007766"/>
    <w:multiLevelType w:val="multilevel"/>
    <w:tmpl w:val="CEA62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5E6A4C45"/>
    <w:multiLevelType w:val="multilevel"/>
    <w:tmpl w:val="5BDECB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07E7F46"/>
    <w:multiLevelType w:val="multilevel"/>
    <w:tmpl w:val="CF429F7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6DEA6D31"/>
    <w:multiLevelType w:val="multilevel"/>
    <w:tmpl w:val="5D9A32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50471AF"/>
    <w:multiLevelType w:val="multilevel"/>
    <w:tmpl w:val="0E96CEF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7BC628A6"/>
    <w:multiLevelType w:val="multilevel"/>
    <w:tmpl w:val="21F62C76"/>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73962250">
    <w:abstractNumId w:val="15"/>
  </w:num>
  <w:num w:numId="2" w16cid:durableId="493111469">
    <w:abstractNumId w:val="7"/>
  </w:num>
  <w:num w:numId="3" w16cid:durableId="781073608">
    <w:abstractNumId w:val="3"/>
  </w:num>
  <w:num w:numId="4" w16cid:durableId="976685265">
    <w:abstractNumId w:val="10"/>
  </w:num>
  <w:num w:numId="5" w16cid:durableId="1712225948">
    <w:abstractNumId w:val="8"/>
  </w:num>
  <w:num w:numId="6" w16cid:durableId="900673817">
    <w:abstractNumId w:val="6"/>
  </w:num>
  <w:num w:numId="7" w16cid:durableId="174349081">
    <w:abstractNumId w:val="4"/>
  </w:num>
  <w:num w:numId="8" w16cid:durableId="354306355">
    <w:abstractNumId w:val="1"/>
  </w:num>
  <w:num w:numId="9" w16cid:durableId="520555114">
    <w:abstractNumId w:val="12"/>
  </w:num>
  <w:num w:numId="10" w16cid:durableId="562059003">
    <w:abstractNumId w:val="0"/>
  </w:num>
  <w:num w:numId="11" w16cid:durableId="9265677">
    <w:abstractNumId w:val="2"/>
  </w:num>
  <w:num w:numId="12" w16cid:durableId="1409421670">
    <w:abstractNumId w:val="18"/>
  </w:num>
  <w:num w:numId="13" w16cid:durableId="240649231">
    <w:abstractNumId w:val="9"/>
  </w:num>
  <w:num w:numId="14" w16cid:durableId="2019035551">
    <w:abstractNumId w:val="17"/>
  </w:num>
  <w:num w:numId="15" w16cid:durableId="1938515748">
    <w:abstractNumId w:val="14"/>
  </w:num>
  <w:num w:numId="16" w16cid:durableId="848178776">
    <w:abstractNumId w:val="16"/>
  </w:num>
  <w:num w:numId="17" w16cid:durableId="1372344451">
    <w:abstractNumId w:val="11"/>
  </w:num>
  <w:num w:numId="18" w16cid:durableId="1949465828">
    <w:abstractNumId w:val="13"/>
  </w:num>
  <w:num w:numId="19" w16cid:durableId="18457092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428"/>
    <w:rsid w:val="00005A72"/>
    <w:rsid w:val="0002289B"/>
    <w:rsid w:val="00057B78"/>
    <w:rsid w:val="000633AC"/>
    <w:rsid w:val="00063A66"/>
    <w:rsid w:val="00081B93"/>
    <w:rsid w:val="000E00D9"/>
    <w:rsid w:val="000F5221"/>
    <w:rsid w:val="001A737B"/>
    <w:rsid w:val="001D56FF"/>
    <w:rsid w:val="002650B1"/>
    <w:rsid w:val="002670EE"/>
    <w:rsid w:val="002735E5"/>
    <w:rsid w:val="00283C2F"/>
    <w:rsid w:val="002C6915"/>
    <w:rsid w:val="002E018A"/>
    <w:rsid w:val="002F0D30"/>
    <w:rsid w:val="002F3B2B"/>
    <w:rsid w:val="00310414"/>
    <w:rsid w:val="00387CC1"/>
    <w:rsid w:val="003A7C67"/>
    <w:rsid w:val="003D5428"/>
    <w:rsid w:val="004A0985"/>
    <w:rsid w:val="004D6F3B"/>
    <w:rsid w:val="0051517D"/>
    <w:rsid w:val="005269A6"/>
    <w:rsid w:val="005450E9"/>
    <w:rsid w:val="005660FD"/>
    <w:rsid w:val="00574780"/>
    <w:rsid w:val="00580672"/>
    <w:rsid w:val="005A6D6F"/>
    <w:rsid w:val="005C3571"/>
    <w:rsid w:val="006144FC"/>
    <w:rsid w:val="006931CE"/>
    <w:rsid w:val="006948C8"/>
    <w:rsid w:val="00695684"/>
    <w:rsid w:val="006A718F"/>
    <w:rsid w:val="0074499A"/>
    <w:rsid w:val="00755E18"/>
    <w:rsid w:val="00761A24"/>
    <w:rsid w:val="007951B5"/>
    <w:rsid w:val="007A5124"/>
    <w:rsid w:val="007F20F3"/>
    <w:rsid w:val="0083228F"/>
    <w:rsid w:val="00881571"/>
    <w:rsid w:val="0089037E"/>
    <w:rsid w:val="00970F44"/>
    <w:rsid w:val="00992624"/>
    <w:rsid w:val="009A2DBE"/>
    <w:rsid w:val="009B13F9"/>
    <w:rsid w:val="00AC203F"/>
    <w:rsid w:val="00B646E4"/>
    <w:rsid w:val="00B85F58"/>
    <w:rsid w:val="00BC10D3"/>
    <w:rsid w:val="00BE57F0"/>
    <w:rsid w:val="00C0618A"/>
    <w:rsid w:val="00C25F99"/>
    <w:rsid w:val="00CB67C6"/>
    <w:rsid w:val="00D075AE"/>
    <w:rsid w:val="00D1201F"/>
    <w:rsid w:val="00D31178"/>
    <w:rsid w:val="00D34F0D"/>
    <w:rsid w:val="00E83567"/>
    <w:rsid w:val="00EB4B77"/>
    <w:rsid w:val="00F05AD6"/>
    <w:rsid w:val="00F21F00"/>
    <w:rsid w:val="00F66D44"/>
    <w:rsid w:val="00FA00DF"/>
    <w:rsid w:val="00FD1FDA"/>
    <w:rsid w:val="00FF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7ACB"/>
  <w15:docId w15:val="{CB20C4C9-7101-475A-8AAA-2F608CDF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Header">
    <w:name w:val="header"/>
    <w:basedOn w:val="Normal"/>
    <w:link w:val="HeaderChar"/>
    <w:uiPriority w:val="99"/>
    <w:unhideWhenUsed/>
    <w:rsid w:val="003A7C67"/>
    <w:pPr>
      <w:tabs>
        <w:tab w:val="center" w:pos="4680"/>
        <w:tab w:val="right" w:pos="9360"/>
      </w:tabs>
      <w:spacing w:line="240" w:lineRule="auto"/>
    </w:pPr>
  </w:style>
  <w:style w:type="character" w:customStyle="1" w:styleId="HeaderChar">
    <w:name w:val="Header Char"/>
    <w:basedOn w:val="DefaultParagraphFont"/>
    <w:link w:val="Header"/>
    <w:uiPriority w:val="99"/>
    <w:rsid w:val="003A7C67"/>
  </w:style>
  <w:style w:type="paragraph" w:styleId="Footer">
    <w:name w:val="footer"/>
    <w:basedOn w:val="Normal"/>
    <w:link w:val="FooterChar"/>
    <w:uiPriority w:val="99"/>
    <w:unhideWhenUsed/>
    <w:rsid w:val="003A7C67"/>
    <w:pPr>
      <w:tabs>
        <w:tab w:val="center" w:pos="4680"/>
        <w:tab w:val="right" w:pos="9360"/>
      </w:tabs>
      <w:spacing w:line="240" w:lineRule="auto"/>
    </w:pPr>
  </w:style>
  <w:style w:type="character" w:customStyle="1" w:styleId="FooterChar">
    <w:name w:val="Footer Char"/>
    <w:basedOn w:val="DefaultParagraphFont"/>
    <w:link w:val="Footer"/>
    <w:uiPriority w:val="99"/>
    <w:rsid w:val="003A7C67"/>
  </w:style>
  <w:style w:type="paragraph" w:styleId="TOCHeading">
    <w:name w:val="TOC Heading"/>
    <w:basedOn w:val="Heading1"/>
    <w:next w:val="Normal"/>
    <w:uiPriority w:val="39"/>
    <w:unhideWhenUsed/>
    <w:qFormat/>
    <w:rsid w:val="00761A24"/>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761A24"/>
    <w:pPr>
      <w:spacing w:after="100"/>
    </w:pPr>
  </w:style>
  <w:style w:type="paragraph" w:styleId="TOC2">
    <w:name w:val="toc 2"/>
    <w:basedOn w:val="Normal"/>
    <w:next w:val="Normal"/>
    <w:autoRedefine/>
    <w:uiPriority w:val="39"/>
    <w:unhideWhenUsed/>
    <w:rsid w:val="00761A24"/>
    <w:pPr>
      <w:spacing w:after="100"/>
      <w:ind w:left="220"/>
    </w:pPr>
  </w:style>
  <w:style w:type="paragraph" w:styleId="TOC3">
    <w:name w:val="toc 3"/>
    <w:basedOn w:val="Normal"/>
    <w:next w:val="Normal"/>
    <w:autoRedefine/>
    <w:uiPriority w:val="39"/>
    <w:unhideWhenUsed/>
    <w:rsid w:val="00761A24"/>
    <w:pPr>
      <w:spacing w:after="100"/>
      <w:ind w:left="440"/>
    </w:pPr>
  </w:style>
  <w:style w:type="paragraph" w:styleId="TOC4">
    <w:name w:val="toc 4"/>
    <w:basedOn w:val="Normal"/>
    <w:next w:val="Normal"/>
    <w:autoRedefine/>
    <w:uiPriority w:val="39"/>
    <w:unhideWhenUsed/>
    <w:rsid w:val="00761A24"/>
    <w:pPr>
      <w:spacing w:after="100" w:line="278" w:lineRule="auto"/>
      <w:ind w:left="720"/>
    </w:pPr>
    <w:rPr>
      <w:rFonts w:asciiTheme="minorHAnsi" w:eastAsiaTheme="minorEastAsia" w:hAnsiTheme="minorHAnsi" w:cstheme="minorBidi"/>
      <w:kern w:val="2"/>
      <w:sz w:val="24"/>
      <w:szCs w:val="24"/>
      <w:lang w:val="en-US"/>
      <w14:ligatures w14:val="standardContextual"/>
    </w:rPr>
  </w:style>
  <w:style w:type="paragraph" w:styleId="TOC5">
    <w:name w:val="toc 5"/>
    <w:basedOn w:val="Normal"/>
    <w:next w:val="Normal"/>
    <w:autoRedefine/>
    <w:uiPriority w:val="39"/>
    <w:unhideWhenUsed/>
    <w:rsid w:val="00761A24"/>
    <w:pPr>
      <w:spacing w:after="100" w:line="278" w:lineRule="auto"/>
      <w:ind w:left="960"/>
    </w:pPr>
    <w:rPr>
      <w:rFonts w:asciiTheme="minorHAnsi" w:eastAsiaTheme="minorEastAsia" w:hAnsiTheme="minorHAnsi" w:cstheme="minorBidi"/>
      <w:kern w:val="2"/>
      <w:sz w:val="24"/>
      <w:szCs w:val="24"/>
      <w:lang w:val="en-US"/>
      <w14:ligatures w14:val="standardContextual"/>
    </w:rPr>
  </w:style>
  <w:style w:type="paragraph" w:styleId="TOC6">
    <w:name w:val="toc 6"/>
    <w:basedOn w:val="Normal"/>
    <w:next w:val="Normal"/>
    <w:autoRedefine/>
    <w:uiPriority w:val="39"/>
    <w:unhideWhenUsed/>
    <w:rsid w:val="00761A24"/>
    <w:pPr>
      <w:spacing w:after="100" w:line="278" w:lineRule="auto"/>
      <w:ind w:left="1200"/>
    </w:pPr>
    <w:rPr>
      <w:rFonts w:asciiTheme="minorHAnsi" w:eastAsiaTheme="minorEastAsia" w:hAnsiTheme="minorHAnsi" w:cstheme="minorBidi"/>
      <w:kern w:val="2"/>
      <w:sz w:val="24"/>
      <w:szCs w:val="24"/>
      <w:lang w:val="en-US"/>
      <w14:ligatures w14:val="standardContextual"/>
    </w:rPr>
  </w:style>
  <w:style w:type="paragraph" w:styleId="TOC7">
    <w:name w:val="toc 7"/>
    <w:basedOn w:val="Normal"/>
    <w:next w:val="Normal"/>
    <w:autoRedefine/>
    <w:uiPriority w:val="39"/>
    <w:unhideWhenUsed/>
    <w:rsid w:val="00761A24"/>
    <w:pPr>
      <w:spacing w:after="100" w:line="278" w:lineRule="auto"/>
      <w:ind w:left="1440"/>
    </w:pPr>
    <w:rPr>
      <w:rFonts w:asciiTheme="minorHAnsi" w:eastAsiaTheme="minorEastAsia" w:hAnsiTheme="minorHAnsi" w:cstheme="minorBidi"/>
      <w:kern w:val="2"/>
      <w:sz w:val="24"/>
      <w:szCs w:val="24"/>
      <w:lang w:val="en-US"/>
      <w14:ligatures w14:val="standardContextual"/>
    </w:rPr>
  </w:style>
  <w:style w:type="paragraph" w:styleId="TOC8">
    <w:name w:val="toc 8"/>
    <w:basedOn w:val="Normal"/>
    <w:next w:val="Normal"/>
    <w:autoRedefine/>
    <w:uiPriority w:val="39"/>
    <w:unhideWhenUsed/>
    <w:rsid w:val="00761A24"/>
    <w:pPr>
      <w:spacing w:after="100" w:line="278" w:lineRule="auto"/>
      <w:ind w:left="1680"/>
    </w:pPr>
    <w:rPr>
      <w:rFonts w:asciiTheme="minorHAnsi" w:eastAsiaTheme="minorEastAsia" w:hAnsiTheme="minorHAnsi" w:cstheme="minorBidi"/>
      <w:kern w:val="2"/>
      <w:sz w:val="24"/>
      <w:szCs w:val="24"/>
      <w:lang w:val="en-US"/>
      <w14:ligatures w14:val="standardContextual"/>
    </w:rPr>
  </w:style>
  <w:style w:type="paragraph" w:styleId="TOC9">
    <w:name w:val="toc 9"/>
    <w:basedOn w:val="Normal"/>
    <w:next w:val="Normal"/>
    <w:autoRedefine/>
    <w:uiPriority w:val="39"/>
    <w:unhideWhenUsed/>
    <w:rsid w:val="00761A24"/>
    <w:pPr>
      <w:spacing w:after="100" w:line="278" w:lineRule="auto"/>
      <w:ind w:left="1920"/>
    </w:pPr>
    <w:rPr>
      <w:rFonts w:asciiTheme="minorHAnsi" w:eastAsiaTheme="minorEastAsia" w:hAnsiTheme="minorHAnsi" w:cstheme="minorBidi"/>
      <w:kern w:val="2"/>
      <w:sz w:val="24"/>
      <w:szCs w:val="24"/>
      <w:lang w:val="en-US"/>
      <w14:ligatures w14:val="standardContextual"/>
    </w:rPr>
  </w:style>
  <w:style w:type="character" w:styleId="Hyperlink">
    <w:name w:val="Hyperlink"/>
    <w:basedOn w:val="DefaultParagraphFont"/>
    <w:uiPriority w:val="99"/>
    <w:unhideWhenUsed/>
    <w:rsid w:val="00761A24"/>
    <w:rPr>
      <w:color w:val="0000FF" w:themeColor="hyperlink"/>
      <w:u w:val="single"/>
    </w:rPr>
  </w:style>
  <w:style w:type="character" w:styleId="UnresolvedMention">
    <w:name w:val="Unresolved Mention"/>
    <w:basedOn w:val="DefaultParagraphFont"/>
    <w:uiPriority w:val="99"/>
    <w:semiHidden/>
    <w:unhideWhenUsed/>
    <w:rsid w:val="00761A24"/>
    <w:rPr>
      <w:color w:val="605E5C"/>
      <w:shd w:val="clear" w:color="auto" w:fill="E1DFDD"/>
    </w:rPr>
  </w:style>
  <w:style w:type="paragraph" w:styleId="ListParagraph">
    <w:name w:val="List Paragraph"/>
    <w:basedOn w:val="Normal"/>
    <w:uiPriority w:val="34"/>
    <w:qFormat/>
    <w:rsid w:val="00283C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7/0022-0663.96.3.523" TargetMode="External"/><Relationship Id="rId18" Type="http://schemas.openxmlformats.org/officeDocument/2006/relationships/hyperlink" Target="https://doi.org/10.2466/07.PR0.117c14z9" TargetMode="External"/><Relationship Id="rId26" Type="http://schemas.openxmlformats.org/officeDocument/2006/relationships/hyperlink" Target="https://doi.org/10.1177/160940690900800105" TargetMode="External"/><Relationship Id="rId39" Type="http://schemas.openxmlformats.org/officeDocument/2006/relationships/hyperlink" Target="https://doi.org/10.17763/haer.72.3.0115121527541414" TargetMode="External"/><Relationship Id="rId21" Type="http://schemas.openxmlformats.org/officeDocument/2006/relationships/hyperlink" Target="https://doi.org/10.1177/1477878515622703" TargetMode="External"/><Relationship Id="rId34" Type="http://schemas.openxmlformats.org/officeDocument/2006/relationships/hyperlink" Target="https://digibuo.uniovi.es/dspace/bitstream/handle/10651/67623/4766.pdf" TargetMode="External"/><Relationship Id="rId42" Type="http://schemas.openxmlformats.org/officeDocument/2006/relationships/hyperlink" Target="https://doi.org/10.1057/s41599-024-04013-1" TargetMode="External"/><Relationship Id="rId47" Type="http://schemas.openxmlformats.org/officeDocument/2006/relationships/hyperlink" Target="https://doi.org/10.1080/13803610903444634" TargetMode="External"/><Relationship Id="rId50" Type="http://schemas.openxmlformats.org/officeDocument/2006/relationships/hyperlink" Target="https://doi.org/10.1111/j.1540-4560.2005.00424.x" TargetMode="External"/><Relationship Id="rId55" Type="http://schemas.openxmlformats.org/officeDocument/2006/relationships/hyperlink" Target="https://doi.org/10.3102/00028312032003465" TargetMode="External"/><Relationship Id="rId63" Type="http://schemas.openxmlformats.org/officeDocument/2006/relationships/hyperlink" Target="https://doi.org/10.1037/0022-0663.88.1.87" TargetMode="External"/><Relationship Id="rId68" Type="http://schemas.openxmlformats.org/officeDocument/2006/relationships/hyperlink" Target="https://doi.org/10.1006/ceps.1994.1033" TargetMode="External"/><Relationship Id="rId76" Type="http://schemas.openxmlformats.org/officeDocument/2006/relationships/hyperlink" Target="https://doi.org/10.1207/s15430421tip4102_2"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007/s11409-017-9176-z" TargetMode="External"/><Relationship Id="rId2" Type="http://schemas.openxmlformats.org/officeDocument/2006/relationships/numbering" Target="numbering.xml"/><Relationship Id="rId16" Type="http://schemas.openxmlformats.org/officeDocument/2006/relationships/hyperlink" Target="https://doi.org/10.1177/1468794112468475" TargetMode="External"/><Relationship Id="rId29" Type="http://schemas.openxmlformats.org/officeDocument/2006/relationships/hyperlink" Target="https://doi.org/10.1037/0003-066X.34.10.906" TargetMode="External"/><Relationship Id="rId11" Type="http://schemas.openxmlformats.org/officeDocument/2006/relationships/hyperlink" Target="https://doi.org/10.1515/applirev-2022-0033" TargetMode="External"/><Relationship Id="rId24" Type="http://schemas.openxmlformats.org/officeDocument/2006/relationships/hyperlink" Target="https://doi.org/10.1080/14675980701852228" TargetMode="External"/><Relationship Id="rId32" Type="http://schemas.openxmlformats.org/officeDocument/2006/relationships/hyperlink" Target="https://doi.org/10.1057/s41599-018-0200-y" TargetMode="External"/><Relationship Id="rId37" Type="http://schemas.openxmlformats.org/officeDocument/2006/relationships/hyperlink" Target="https://doi.org/10.1023/A:1016209010120" TargetMode="External"/><Relationship Id="rId40" Type="http://schemas.openxmlformats.org/officeDocument/2006/relationships/hyperlink" Target="https://doi.org/10.17763/haer.72.3.0115121527541414" TargetMode="External"/><Relationship Id="rId45" Type="http://schemas.openxmlformats.org/officeDocument/2006/relationships/hyperlink" Target="https://doi.org/10.3102/00346543067001088" TargetMode="External"/><Relationship Id="rId53" Type="http://schemas.openxmlformats.org/officeDocument/2006/relationships/hyperlink" Target="https://doi.org/10.32674/jis.v11i3.2435" TargetMode="External"/><Relationship Id="rId58" Type="http://schemas.openxmlformats.org/officeDocument/2006/relationships/hyperlink" Target="https://doi.org/10.1016/S0147-1767(01)00013-0" TargetMode="External"/><Relationship Id="rId66" Type="http://schemas.openxmlformats.org/officeDocument/2006/relationships/hyperlink" Target="https://doi.org/10.1023/A:1017982716483" TargetMode="External"/><Relationship Id="rId74" Type="http://schemas.openxmlformats.org/officeDocument/2006/relationships/hyperlink" Target="https://doi.org/10.1177/109019819702400309" TargetMode="External"/><Relationship Id="rId79" Type="http://schemas.openxmlformats.org/officeDocument/2006/relationships/image" Target="media/image2.jpeg"/><Relationship Id="rId5" Type="http://schemas.openxmlformats.org/officeDocument/2006/relationships/webSettings" Target="webSettings.xml"/><Relationship Id="rId61" Type="http://schemas.openxmlformats.org/officeDocument/2006/relationships/hyperlink" Target="https://doi.org/10.3102/0013189X12441244" TargetMode="External"/><Relationship Id="rId82" Type="http://schemas.openxmlformats.org/officeDocument/2006/relationships/header" Target="header1.xml"/><Relationship Id="rId10" Type="http://schemas.openxmlformats.org/officeDocument/2006/relationships/hyperlink" Target="https://doi.org/10.1016/j.caeai.2024.100325" TargetMode="External"/><Relationship Id="rId19" Type="http://schemas.openxmlformats.org/officeDocument/2006/relationships/hyperlink" Target="https://doi.org/10.1177/1468794108093898" TargetMode="External"/><Relationship Id="rId31" Type="http://schemas.openxmlformats.org/officeDocument/2006/relationships/hyperlink" Target="https://doi.org/10.1057/s41599-018-0200-y" TargetMode="External"/><Relationship Id="rId44" Type="http://schemas.openxmlformats.org/officeDocument/2006/relationships/hyperlink" Target="https://doi.org/10.32674/jis.v9i1.267" TargetMode="External"/><Relationship Id="rId52" Type="http://schemas.openxmlformats.org/officeDocument/2006/relationships/hyperlink" Target="https://doi.org/10.1177/0022022108326260" TargetMode="External"/><Relationship Id="rId60" Type="http://schemas.openxmlformats.org/officeDocument/2006/relationships/hyperlink" Target="https://doi.org/10.1016/j.edurev.2018.01.002" TargetMode="External"/><Relationship Id="rId65" Type="http://schemas.openxmlformats.org/officeDocument/2006/relationships/hyperlink" Target="https://doi.org/10.1023/A:1017982716483" TargetMode="External"/><Relationship Id="rId73" Type="http://schemas.openxmlformats.org/officeDocument/2006/relationships/hyperlink" Target="https://doi.org/10.1177/109019819702400309" TargetMode="External"/><Relationship Id="rId78" Type="http://schemas.openxmlformats.org/officeDocument/2006/relationships/hyperlink" Target="https://doi.org/10.3102/0002831207312909" TargetMode="External"/><Relationship Id="rId8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doi.org/10.1016/j.caeai.2024.100325" TargetMode="External"/><Relationship Id="rId14" Type="http://schemas.openxmlformats.org/officeDocument/2006/relationships/hyperlink" Target="https://doi.org/10.1037/0022-0663.96.3.523" TargetMode="External"/><Relationship Id="rId22" Type="http://schemas.openxmlformats.org/officeDocument/2006/relationships/hyperlink" Target="https://doi.org/10.1177/1477878515622703" TargetMode="External"/><Relationship Id="rId27" Type="http://schemas.openxmlformats.org/officeDocument/2006/relationships/hyperlink" Target="https://doi.org/10.1016/j.edurev.2005.11.001" TargetMode="External"/><Relationship Id="rId30" Type="http://schemas.openxmlformats.org/officeDocument/2006/relationships/hyperlink" Target="https://doi.org/10.1037/0003-066X.34.10.906" TargetMode="External"/><Relationship Id="rId35" Type="http://schemas.openxmlformats.org/officeDocument/2006/relationships/hyperlink" Target="https://doi.org/10.1016/j.ijintrel.2015.05.007" TargetMode="External"/><Relationship Id="rId43" Type="http://schemas.openxmlformats.org/officeDocument/2006/relationships/hyperlink" Target="https://doi.org/10.32674/jis.v9i1.267" TargetMode="External"/><Relationship Id="rId48" Type="http://schemas.openxmlformats.org/officeDocument/2006/relationships/hyperlink" Target="https://doi.org/10.1080/13803610903444634" TargetMode="External"/><Relationship Id="rId56" Type="http://schemas.openxmlformats.org/officeDocument/2006/relationships/hyperlink" Target="https://doi.org/10.3102/00028312032003465" TargetMode="External"/><Relationship Id="rId64" Type="http://schemas.openxmlformats.org/officeDocument/2006/relationships/hyperlink" Target="https://doi.org/10.1037/0022-0663.88.1.87" TargetMode="External"/><Relationship Id="rId69" Type="http://schemas.openxmlformats.org/officeDocument/2006/relationships/hyperlink" Target="https://doi.org/10.1007/BF02212307" TargetMode="External"/><Relationship Id="rId77" Type="http://schemas.openxmlformats.org/officeDocument/2006/relationships/hyperlink" Target="https://doi.org/10.3102/0002831207312909" TargetMode="External"/><Relationship Id="rId8" Type="http://schemas.openxmlformats.org/officeDocument/2006/relationships/image" Target="media/image1.png"/><Relationship Id="rId51" Type="http://schemas.openxmlformats.org/officeDocument/2006/relationships/hyperlink" Target="https://doi.org/10.1177/0022022108326260" TargetMode="External"/><Relationship Id="rId72" Type="http://schemas.openxmlformats.org/officeDocument/2006/relationships/hyperlink" Target="https://doi.org/10.1007/s11409-017-9176-z" TargetMode="External"/><Relationship Id="rId80"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https://doi.org/10.1515/applirev-2022-0033" TargetMode="External"/><Relationship Id="rId17" Type="http://schemas.openxmlformats.org/officeDocument/2006/relationships/hyperlink" Target="https://doi.org/10.2466/07.PR0.117c14z9" TargetMode="External"/><Relationship Id="rId25" Type="http://schemas.openxmlformats.org/officeDocument/2006/relationships/hyperlink" Target="https://doi.org/10.1177/160940690900800105" TargetMode="External"/><Relationship Id="rId33" Type="http://schemas.openxmlformats.org/officeDocument/2006/relationships/hyperlink" Target="https://digibuo.uniovi.es/dspace/bitstream/handle/10651/67623/4766.pdf" TargetMode="External"/><Relationship Id="rId38" Type="http://schemas.openxmlformats.org/officeDocument/2006/relationships/hyperlink" Target="https://doi.org/10.1023/A:1016209010120" TargetMode="External"/><Relationship Id="rId46" Type="http://schemas.openxmlformats.org/officeDocument/2006/relationships/hyperlink" Target="https://doi.org/10.3102/00346543067001088" TargetMode="External"/><Relationship Id="rId59" Type="http://schemas.openxmlformats.org/officeDocument/2006/relationships/hyperlink" Target="https://doi.org/10.1016/j.edurev.2018.01.002" TargetMode="External"/><Relationship Id="rId67" Type="http://schemas.openxmlformats.org/officeDocument/2006/relationships/hyperlink" Target="https://doi.org/10.1006/ceps.1994.1033" TargetMode="External"/><Relationship Id="rId20" Type="http://schemas.openxmlformats.org/officeDocument/2006/relationships/hyperlink" Target="https://doi.org/10.1177/1468794108093898" TargetMode="External"/><Relationship Id="rId41" Type="http://schemas.openxmlformats.org/officeDocument/2006/relationships/hyperlink" Target="https://doi.org/10.1057/s41599-024-04013-1" TargetMode="External"/><Relationship Id="rId54" Type="http://schemas.openxmlformats.org/officeDocument/2006/relationships/hyperlink" Target="https://doi.org/10.32674/jis.v11i3.2435" TargetMode="External"/><Relationship Id="rId62" Type="http://schemas.openxmlformats.org/officeDocument/2006/relationships/hyperlink" Target="https://doi.org/10.3102/0013189X12441244" TargetMode="External"/><Relationship Id="rId70" Type="http://schemas.openxmlformats.org/officeDocument/2006/relationships/hyperlink" Target="https://doi.org/10.1007/BF02212307" TargetMode="External"/><Relationship Id="rId75" Type="http://schemas.openxmlformats.org/officeDocument/2006/relationships/hyperlink" Target="https://doi.org/10.1207/s15430421tip4102_2"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7/1468794112468475" TargetMode="External"/><Relationship Id="rId23" Type="http://schemas.openxmlformats.org/officeDocument/2006/relationships/hyperlink" Target="https://doi.org/10.1080/14675980701852228" TargetMode="External"/><Relationship Id="rId28" Type="http://schemas.openxmlformats.org/officeDocument/2006/relationships/hyperlink" Target="https://doi.org/10.1016/j.edurev.2005.11.001" TargetMode="External"/><Relationship Id="rId36" Type="http://schemas.openxmlformats.org/officeDocument/2006/relationships/hyperlink" Target="https://doi.org/10.1016/j.ijintrel.2015.05.007" TargetMode="External"/><Relationship Id="rId49" Type="http://schemas.openxmlformats.org/officeDocument/2006/relationships/hyperlink" Target="https://doi.org/10.1111/j.1540-4560.2005.00424.x" TargetMode="External"/><Relationship Id="rId57" Type="http://schemas.openxmlformats.org/officeDocument/2006/relationships/hyperlink" Target="https://doi.org/10.1016/S0147-1767(01)00013-0"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2CF28-60C4-4CE9-A6AF-2B22403D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1261</TotalTime>
  <Pages>102</Pages>
  <Words>23663</Words>
  <Characters>134881</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61</cp:revision>
  <dcterms:created xsi:type="dcterms:W3CDTF">2026-07-21T05:44:00Z</dcterms:created>
  <dcterms:modified xsi:type="dcterms:W3CDTF">2026-07-24T09:45:00Z</dcterms:modified>
</cp:coreProperties>
</file>