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1771650</wp:posOffset>
            </wp:positionH>
            <wp:positionV relativeFrom="paragraph">
              <wp:posOffset>114300</wp:posOffset>
            </wp:positionV>
            <wp:extent cx="2143125" cy="2143125"/>
            <wp:effectExtent b="0" l="0" r="0" t="0"/>
            <wp:wrapSquare wrapText="bothSides" distB="114300" distT="114300" distL="114300" distR="114300"/>
            <wp:docPr id="5"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2143125" cy="2143125"/>
                    </a:xfrm>
                    <a:prstGeom prst="rect"/>
                    <a:ln/>
                  </pic:spPr>
                </pic:pic>
              </a:graphicData>
            </a:graphic>
          </wp:anchor>
        </w:drawing>
      </w:r>
    </w:p>
    <w:p w:rsidR="00000000" w:rsidDel="00000000" w:rsidP="00000000" w:rsidRDefault="00000000" w:rsidRPr="00000000" w14:paraId="0000000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Prevalence and Determinants of Low Medication Adherence among Hypertensive Patients in Chittagong: Hospital-based study.</w:t>
      </w:r>
    </w:p>
    <w:p w:rsidR="00000000" w:rsidDel="00000000" w:rsidP="00000000" w:rsidRDefault="00000000" w:rsidRPr="00000000" w14:paraId="0000000C">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D">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Submitted by</w:t>
      </w:r>
    </w:p>
    <w:p w:rsidR="00000000" w:rsidDel="00000000" w:rsidP="00000000" w:rsidRDefault="00000000" w:rsidRPr="00000000" w14:paraId="0000000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Adrita Dhara Das</w:t>
      </w:r>
    </w:p>
    <w:p w:rsidR="00000000" w:rsidDel="00000000" w:rsidP="00000000" w:rsidRDefault="00000000" w:rsidRPr="00000000" w14:paraId="00000010">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210029</w:t>
      </w:r>
    </w:p>
    <w:p w:rsidR="00000000" w:rsidDel="00000000" w:rsidP="00000000" w:rsidRDefault="00000000" w:rsidRPr="00000000" w14:paraId="00000011">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2">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3">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4">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Supervised by</w:t>
      </w:r>
    </w:p>
    <w:p w:rsidR="00000000" w:rsidDel="00000000" w:rsidP="00000000" w:rsidRDefault="00000000" w:rsidRPr="00000000" w14:paraId="00000015">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Dr. Mohiuddin Ahsanul Kabir Chowdhury</w:t>
      </w:r>
    </w:p>
    <w:p w:rsidR="00000000" w:rsidDel="00000000" w:rsidP="00000000" w:rsidRDefault="00000000" w:rsidRPr="00000000" w14:paraId="00000016">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(Associate Professor of Public Health)</w:t>
      </w:r>
    </w:p>
    <w:p w:rsidR="00000000" w:rsidDel="00000000" w:rsidP="00000000" w:rsidRDefault="00000000" w:rsidRPr="00000000" w14:paraId="00000017">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Dr. Tuhin Biswas</w:t>
      </w:r>
    </w:p>
    <w:p w:rsidR="00000000" w:rsidDel="00000000" w:rsidP="00000000" w:rsidRDefault="00000000" w:rsidRPr="00000000" w14:paraId="00000018">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(Assistant Professor of Public Health)</w:t>
      </w:r>
    </w:p>
    <w:p w:rsidR="00000000" w:rsidDel="00000000" w:rsidP="00000000" w:rsidRDefault="00000000" w:rsidRPr="00000000" w14:paraId="00000019">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D">
      <w:pPr>
        <w:spacing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Acknowledgement</w:t>
      </w:r>
    </w:p>
    <w:p w:rsidR="00000000" w:rsidDel="00000000" w:rsidP="00000000" w:rsidRDefault="00000000" w:rsidRPr="00000000" w14:paraId="0000001E">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extend my deepest gratitude to my supervisors, whose invaluable guidance, unwavering support, and insightful feedback have been instrumental in shaping this research. Their expertise and encouragement have provided me with the confidence and direction needed to navigate this journey.</w:t>
      </w:r>
    </w:p>
    <w:p w:rsidR="00000000" w:rsidDel="00000000" w:rsidP="00000000" w:rsidRDefault="00000000" w:rsidRPr="00000000" w14:paraId="0000001F">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am profoundly grateful to my university, Asian University for Women, for providing me with the platform to pursue this research and for fostering an environment of academic excellence and intellectual growth. The continuous support from the faculty and administration has been a source of strength throughout this endeavor.</w:t>
      </w:r>
    </w:p>
    <w:p w:rsidR="00000000" w:rsidDel="00000000" w:rsidP="00000000" w:rsidRDefault="00000000" w:rsidRPr="00000000" w14:paraId="00000020">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would like to express my sincere appreciation to the Director Health Office, Chattogram Division Office, and Superintendent of the Chattogram 250-bed General Hospital for granting me permission to conduct my research in hospitals with the utmost facilities. Their cooperation and assistance made it possible to carry out this study effectively. I am also deeply thankful to all the consultants, doctors, nurses, and hospital staff who extended their support during the data collection process. Their willingness to assist and their invaluable insights played a significant role in this research.</w:t>
      </w:r>
    </w:p>
    <w:p w:rsidR="00000000" w:rsidDel="00000000" w:rsidP="00000000" w:rsidRDefault="00000000" w:rsidRPr="00000000" w14:paraId="00000021">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special note of gratitude goes to my father, whose relentless efforts and determination helped me secure all the necessary permissions from the health departments. His unwavering support and belief in my work have been my greatest source of motivation. I am equally thankful to my mother and elder brother, who have always stood by me, offering unconditional love and encouragement throughout this journey.</w:t>
      </w:r>
    </w:p>
    <w:p w:rsidR="00000000" w:rsidDel="00000000" w:rsidP="00000000" w:rsidRDefault="00000000" w:rsidRPr="00000000" w14:paraId="00000022">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would also like to extend my heartfelt thanks to my research assistants and my friends, whose dedication and hard work during data collection have been indispensable. Their contribution has made this research process smoother and more efficient.</w:t>
      </w:r>
    </w:p>
    <w:p w:rsidR="00000000" w:rsidDel="00000000" w:rsidP="00000000" w:rsidRDefault="00000000" w:rsidRPr="00000000" w14:paraId="00000023">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Lastly, I acknowledge that any shortcomings or mistakes in this research are solely my responsibility. However, if this study brings any benefit to society or contributes to the field of Public Health in any way, all credit belongs to my Professors and everyone who has supported me throughout this journey.</w:t>
      </w:r>
    </w:p>
    <w:p w:rsidR="00000000" w:rsidDel="00000000" w:rsidP="00000000" w:rsidRDefault="00000000" w:rsidRPr="00000000" w14:paraId="00000024">
      <w:pPr>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5">
      <w:pPr>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6">
      <w:pPr>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7">
      <w:pPr>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8">
      <w:pPr>
        <w:spacing w:after="240" w:before="240"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Abstract: </w:t>
      </w:r>
      <w:r w:rsidDel="00000000" w:rsidR="00000000" w:rsidRPr="00000000">
        <w:rPr>
          <w:rtl w:val="0"/>
        </w:rPr>
      </w:r>
    </w:p>
    <w:p w:rsidR="00000000" w:rsidDel="00000000" w:rsidP="00000000" w:rsidRDefault="00000000" w:rsidRPr="00000000" w14:paraId="00000029">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Background: </w:t>
      </w:r>
      <w:r w:rsidDel="00000000" w:rsidR="00000000" w:rsidRPr="00000000">
        <w:rPr>
          <w:rFonts w:ascii="Times New Roman" w:cs="Times New Roman" w:eastAsia="Times New Roman" w:hAnsi="Times New Roman"/>
          <w:sz w:val="24"/>
          <w:szCs w:val="24"/>
          <w:rtl w:val="0"/>
        </w:rPr>
        <w:t xml:space="preserve">One of the main non-communicable diseases (NCDs) that causes morbidity and mortality globally is hypertension. Low medication adherence is still a major problem despite the acknowledged health risks, especially in low- and middle-income nations like Bangladesh. According to studies, nonadherence raises the risk of stroke, heart disease, and other chronic illnesses. The frequency and contributing factors of poor medication adherence among hypertension patients in Bangladesh, however, have not received much attention in studies.</w:t>
      </w:r>
    </w:p>
    <w:p w:rsidR="00000000" w:rsidDel="00000000" w:rsidP="00000000" w:rsidRDefault="00000000" w:rsidRPr="00000000" w14:paraId="0000002A">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B">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Methodology: </w:t>
      </w:r>
      <w:r w:rsidDel="00000000" w:rsidR="00000000" w:rsidRPr="00000000">
        <w:rPr>
          <w:rFonts w:ascii="Times New Roman" w:cs="Times New Roman" w:eastAsia="Times New Roman" w:hAnsi="Times New Roman"/>
          <w:sz w:val="24"/>
          <w:szCs w:val="24"/>
          <w:rtl w:val="0"/>
        </w:rPr>
        <w:t xml:space="preserve"> A cross-sectional study was conducted in 250 bed Chattogram General Hospital, and three upozila health complexes in Chattogram. A well structured questionnaire was done to have face to face interviews of the participants. </w:t>
      </w:r>
    </w:p>
    <w:p w:rsidR="00000000" w:rsidDel="00000000" w:rsidP="00000000" w:rsidRDefault="00000000" w:rsidRPr="00000000" w14:paraId="0000002C">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D">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Results: </w:t>
      </w:r>
      <w:r w:rsidDel="00000000" w:rsidR="00000000" w:rsidRPr="00000000">
        <w:rPr>
          <w:rFonts w:ascii="Times New Roman" w:cs="Times New Roman" w:eastAsia="Times New Roman" w:hAnsi="Times New Roman"/>
          <w:sz w:val="24"/>
          <w:szCs w:val="24"/>
          <w:rtl w:val="0"/>
        </w:rPr>
        <w:t xml:space="preserve">A higher percentage(70%) of the female showed low medication adherence where compared to the male participants(30%). Education level and medication adherence is proportional. Participants with no formal education showed highest percentage (42.4%) in low medication adherence. On the other hand, income source is inversely connected. The participants with the monthly income between (80000-120000) showed low medication adherence even though high financial stability. Only 14.4% of patients showed high medication adherence, compared to 72.8% who had medium adherence and 12.8% who had low adherence, according to the data. Health-seeking behaviours varied, with 42.8% going to local health centres and 49% visiting MBBS doctors. But obstacles like distance, budgetary limitations, and sporadic follow-ups led to low adherence.</w:t>
      </w:r>
    </w:p>
    <w:p w:rsidR="00000000" w:rsidDel="00000000" w:rsidP="00000000" w:rsidRDefault="00000000" w:rsidRPr="00000000" w14:paraId="0000002E">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F">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Conclusion: </w:t>
      </w:r>
      <w:r w:rsidDel="00000000" w:rsidR="00000000" w:rsidRPr="00000000">
        <w:rPr>
          <w:rFonts w:ascii="Times New Roman" w:cs="Times New Roman" w:eastAsia="Times New Roman" w:hAnsi="Times New Roman"/>
          <w:sz w:val="24"/>
          <w:szCs w:val="24"/>
          <w:rtl w:val="0"/>
        </w:rPr>
        <w:t xml:space="preserve">Low medication adherence among hypertension patients in Bangladesh is a serious problem, and the study emphasises the difficulties associated with socioeconomic status and access to healthcare. Improving adherence rates requires addressing these obstacles with focused interventions, such as increasing follow-up procedures, expanding access to healthcare, and improving patient education.</w:t>
      </w:r>
    </w:p>
    <w:p w:rsidR="00000000" w:rsidDel="00000000" w:rsidP="00000000" w:rsidRDefault="00000000" w:rsidRPr="00000000" w14:paraId="00000030">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2">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3">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4">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5">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6">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7">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8">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9">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A">
      <w:pPr>
        <w:spacing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B">
      <w:pPr>
        <w:spacing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 </w:t>
      </w:r>
    </w:p>
    <w:p w:rsidR="00000000" w:rsidDel="00000000" w:rsidP="00000000" w:rsidRDefault="00000000" w:rsidRPr="00000000" w14:paraId="0000003C">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NCDs(Non-Communicable Diseases)are chronic diseases that have a long-lasting effect on human health. The interaction of behavioral, physiological, environmental, and genetic variables is usually responsible for such diseases. One such chronic disease is Hypertension (</w:t>
      </w:r>
      <w:r w:rsidDel="00000000" w:rsidR="00000000" w:rsidRPr="00000000">
        <w:rPr>
          <w:rFonts w:ascii="Times New Roman" w:cs="Times New Roman" w:eastAsia="Times New Roman" w:hAnsi="Times New Roman"/>
          <w:sz w:val="24"/>
          <w:szCs w:val="24"/>
          <w:rtl w:val="0"/>
        </w:rPr>
        <w:t xml:space="preserve">World Health Organization, 2024)). </w:t>
      </w:r>
      <w:r w:rsidDel="00000000" w:rsidR="00000000" w:rsidRPr="00000000">
        <w:rPr>
          <w:rFonts w:ascii="Times New Roman" w:cs="Times New Roman" w:eastAsia="Times New Roman" w:hAnsi="Times New Roman"/>
          <w:sz w:val="24"/>
          <w:szCs w:val="24"/>
          <w:rtl w:val="0"/>
        </w:rPr>
        <w:t xml:space="preserve">Hypertension, usually known as high blood pressure, is a chronic medical condition marked by raised blood pressure levels that consistently exceed the normal range (NHS, 2024). According to (</w:t>
      </w:r>
      <w:r w:rsidDel="00000000" w:rsidR="00000000" w:rsidRPr="00000000">
        <w:rPr>
          <w:rFonts w:ascii="Times New Roman" w:cs="Times New Roman" w:eastAsia="Times New Roman" w:hAnsi="Times New Roman"/>
          <w:sz w:val="24"/>
          <w:szCs w:val="24"/>
          <w:rtl w:val="0"/>
        </w:rPr>
        <w:t xml:space="preserve">Gabb,</w:t>
      </w:r>
      <w:r w:rsidDel="00000000" w:rsidR="00000000" w:rsidRPr="00000000">
        <w:rPr>
          <w:rFonts w:ascii="Times New Roman" w:cs="Times New Roman" w:eastAsia="Times New Roman" w:hAnsi="Times New Roman"/>
          <w:sz w:val="24"/>
          <w:szCs w:val="24"/>
          <w:rtl w:val="0"/>
        </w:rPr>
        <w:t xml:space="preserve"> 2020), hypertension is not only a disease but also a strong risk factor for other non-communicable diseases like stroke and cardiovascular events( myocardial infarction, heart failure), diabetes, lung diseases, etc. According to (Lemstra &amp; Alsabbagh, 2014), and the World Health Organisation (WHO), long-term therapy nonadherence that managing hypertension can lower the risk of myocardial infarction by 15% and stroke by 30% to 43%, in addition to lowering the risk of several other chronic illnesses. Despite its broad prevalence and possible repercussions, hypertension is frequently left misdiagnosed or undertreated due to a lack of public awareness. Additionally, according to the 2013 Global Burden of Disease Study, hypertension kills more than 10 million people globally each year (Forouzanfar et al., 2015). The Sustainable Development Goal, target 3.4 says, “By 2030, reduce by one-third premature mortality from non-communicable diseases through prevention and treatment and mental health and wellbeing”, (World Health Organization, 2023). Poor adherence, failure to properly follow up with the medicines and visit to health care centers for hypertension, or to take the dose as directed and to maintain the treatments over time are well-known contributors to failure of blood pressure control among patients (Burnier and Egan, 2019),.Despite global efforts to address the risk of Non-Communicable Diseases including raised awareness the rate of controlling blood pressure is still unsatisfactory, especially in low and middle-income countries. Medication adherence can be successfully improved by patient-centered treatment, professional and nonjudgmental communication skills, and the patient's faith in the clinician's expertise. (Hamrahian et al., 2022).  According to (Mahmood et al., 2021) in Asia, hypertension along with its other major connected diseases is one of the leading causes of morbidity and mortality as Asia is quite different than the other continents in the world in terms of religion, social status, economy, culture, and facility of health system by the governments. The percentage of low medication adherence for hypertension treatment is close to 48%, which is increasing very rapidly. Additionally, in different parts of Asia, the percentage of hypertension varies from 10.6 to 41.4% (Jin et al., 2013). Some of the main reasons that contribute to low medication adherence are Asian countries' low health literacy in general people, the number of availing medical records, unaffordability, and also the number of pharmacy refill records which affects the medication pattern of the people of this region (Mahmood et al., 2021). Bangladesh is one of the low and middle-income countries where the burden of hypertension is increasing. According to  (Chowdhury et al., 2020), the prevalence of hypertension is 20% which also matches the global prevalence of hypertension, and most of the hypertensive patients were females from urban areas. </w:t>
      </w:r>
    </w:p>
    <w:p w:rsidR="00000000" w:rsidDel="00000000" w:rsidP="00000000" w:rsidRDefault="00000000" w:rsidRPr="00000000" w14:paraId="0000003D">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Age, genetics, family history, race or ethnicity, social economic factors like income, education level, residence, and occupation are basic risk factors. Moreover, lifestyle choices like eating unhealthy foods are risk factors for hypertension, hypertension itself is also a risk factor for other chronic and noncommunicable diseases. Foods rich in sugar and salt, excessive caffeine and alcohol use, sedentary lifestyles, and poor sleep quality are also the biggest risk factors that can be controlled in order to avoid hypertension (National Heart, Lung, and Blood Institute, 2024). According to (Gutierrez &amp; Sakulbumrungsil, 2021), there were some factors associated with low medication adherence in the Philippines. Factors like healthcare system-related factors (good patient-health provider relationship, accessibility of health services, use of specialty clinics and health programs for hypertension, and health insurance) were positively associated with low medication adherence. Factors like socioeconomic factors(younger age, low education level, unemployment), patient-related factors like low knowledge of health wellness, hypertension, attitude towards hypertension, social support, and therapy-related factors like inconsistent drug regimen schedule, use of prescribed and alternative medicines were negatively associated. Poor adherence is the primary cause of uncontrolled blood pressure, according to the World Health Organisation (WHO), which also estimates that between 50 and 70 percent of patients do not take their antihypertensive medications as directed (Hashmi et al., 2007) and (Mant &amp; McManus, 2006). </w:t>
      </w:r>
      <w:r w:rsidDel="00000000" w:rsidR="00000000" w:rsidRPr="00000000">
        <w:rPr>
          <w:rtl w:val="0"/>
        </w:rPr>
      </w:r>
    </w:p>
    <w:p w:rsidR="00000000" w:rsidDel="00000000" w:rsidP="00000000" w:rsidRDefault="00000000" w:rsidRPr="00000000" w14:paraId="0000003E">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This study holds significance as, unlike other studies that assessed the diet, physical activities, and health-seeking behaviors of hypertensive patients, no study was done  to assess the prevalence and determinants of low medication adherence for hypertensive patients in different hospital settings of Bangladesh.</w:t>
      </w:r>
    </w:p>
    <w:p w:rsidR="00000000" w:rsidDel="00000000" w:rsidP="00000000" w:rsidRDefault="00000000" w:rsidRPr="00000000" w14:paraId="0000003F">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0">
      <w:pPr>
        <w:spacing w:line="276"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Aim:</w:t>
      </w:r>
    </w:p>
    <w:p w:rsidR="00000000" w:rsidDel="00000000" w:rsidP="00000000" w:rsidRDefault="00000000" w:rsidRPr="00000000" w14:paraId="00000041">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assess the prevalence and determinants of low medication adherence of hypertensive patients.</w:t>
      </w:r>
    </w:p>
    <w:p w:rsidR="00000000" w:rsidDel="00000000" w:rsidP="00000000" w:rsidRDefault="00000000" w:rsidRPr="00000000" w14:paraId="00000042">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Objectives:</w:t>
      </w:r>
    </w:p>
    <w:p w:rsidR="00000000" w:rsidDel="00000000" w:rsidP="00000000" w:rsidRDefault="00000000" w:rsidRPr="00000000" w14:paraId="00000044">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To assess the prevalence of low medication adherence.</w:t>
      </w:r>
    </w:p>
    <w:p w:rsidR="00000000" w:rsidDel="00000000" w:rsidP="00000000" w:rsidRDefault="00000000" w:rsidRPr="00000000" w14:paraId="00000045">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To identify the factors associated with  low medication adherence (social demographics and other co-morbidities)</w:t>
      </w:r>
    </w:p>
    <w:p w:rsidR="00000000" w:rsidDel="00000000" w:rsidP="00000000" w:rsidRDefault="00000000" w:rsidRPr="00000000" w14:paraId="00000046">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To assess the health-seeking behavior of hypertensive patients.</w:t>
      </w:r>
    </w:p>
    <w:p w:rsidR="00000000" w:rsidDel="00000000" w:rsidP="00000000" w:rsidRDefault="00000000" w:rsidRPr="00000000" w14:paraId="00000047">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Research Questions: </w:t>
      </w: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49">
      <w:pPr>
        <w:numPr>
          <w:ilvl w:val="0"/>
          <w:numId w:val="1"/>
        </w:numPr>
        <w:spacing w:line="276"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was the prevalence of low medication adherence among hypertensive patients in Chittagong Medical College? </w:t>
      </w:r>
    </w:p>
    <w:p w:rsidR="00000000" w:rsidDel="00000000" w:rsidP="00000000" w:rsidRDefault="00000000" w:rsidRPr="00000000" w14:paraId="0000004A">
      <w:pPr>
        <w:numPr>
          <w:ilvl w:val="0"/>
          <w:numId w:val="1"/>
        </w:numPr>
        <w:spacing w:line="276"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were the  factors associated with low medication adherence among hypertensive patients?</w:t>
      </w:r>
    </w:p>
    <w:p w:rsidR="00000000" w:rsidDel="00000000" w:rsidP="00000000" w:rsidRDefault="00000000" w:rsidRPr="00000000" w14:paraId="0000004B">
      <w:pPr>
        <w:numPr>
          <w:ilvl w:val="0"/>
          <w:numId w:val="1"/>
        </w:numPr>
        <w:spacing w:line="276"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were the healthcare-seeking behavior patterns among hypertensive patients with low medication adherence?</w:t>
      </w:r>
      <w:r w:rsidDel="00000000" w:rsidR="00000000" w:rsidRPr="00000000">
        <w:rPr>
          <w:rtl w:val="0"/>
        </w:rPr>
      </w:r>
    </w:p>
    <w:p w:rsidR="00000000" w:rsidDel="00000000" w:rsidP="00000000" w:rsidRDefault="00000000" w:rsidRPr="00000000" w14:paraId="0000004C">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D">
      <w:pPr>
        <w:spacing w:line="276"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Conceptual Framework:</w:t>
      </w:r>
    </w:p>
    <w:p w:rsidR="00000000" w:rsidDel="00000000" w:rsidP="00000000" w:rsidRDefault="00000000" w:rsidRPr="00000000" w14:paraId="0000004E">
      <w:pPr>
        <w:spacing w:line="276" w:lineRule="auto"/>
        <w:jc w:val="both"/>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176213</wp:posOffset>
                </wp:positionH>
                <wp:positionV relativeFrom="paragraph">
                  <wp:posOffset>148310</wp:posOffset>
                </wp:positionV>
                <wp:extent cx="4910138" cy="3977950"/>
                <wp:effectExtent b="0" l="0" r="0" t="0"/>
                <wp:wrapSquare wrapText="bothSides" distB="114300" distT="114300" distL="114300" distR="114300"/>
                <wp:docPr id="1" name=""/>
                <a:graphic>
                  <a:graphicData uri="http://schemas.microsoft.com/office/word/2010/wordprocessingGroup">
                    <wpg:wgp>
                      <wpg:cNvGrpSpPr/>
                      <wpg:grpSpPr>
                        <a:xfrm>
                          <a:off x="585325" y="107850"/>
                          <a:ext cx="4910138" cy="3977950"/>
                          <a:chOff x="585325" y="107850"/>
                          <a:chExt cx="6037525" cy="4894025"/>
                        </a:xfrm>
                      </wpg:grpSpPr>
                      <wps:wsp>
                        <wps:cNvSpPr txBox="1"/>
                        <wps:cNvPr id="2" name="Shape 2"/>
                        <wps:spPr>
                          <a:xfrm>
                            <a:off x="5160849" y="1520325"/>
                            <a:ext cx="1145400" cy="7056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6"/>
                                  <w:vertAlign w:val="baseline"/>
                                </w:rPr>
                                <w:t xml:space="preserve">Low Medication Adherence</w:t>
                              </w:r>
                            </w:p>
                          </w:txbxContent>
                        </wps:txbx>
                        <wps:bodyPr anchorCtr="0" anchor="t" bIns="91425" lIns="91425" spcFirstLastPara="1" rIns="91425" wrap="square" tIns="91425">
                          <a:noAutofit/>
                        </wps:bodyPr>
                      </wps:wsp>
                      <wps:wsp>
                        <wps:cNvSpPr/>
                        <wps:cNvPr id="3" name="Shape 3"/>
                        <wps:spPr>
                          <a:xfrm>
                            <a:off x="590100" y="503100"/>
                            <a:ext cx="2394000" cy="19839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6"/>
                                  <w:vertAlign w:val="baseline"/>
                                </w:rPr>
                                <w:t xml:space="preserve">Sociodemographic factors: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1"/>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Age,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Gender,</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Marital status,</w:t>
                              </w:r>
                              <w:r w:rsidDel="00000000" w:rsidR="00000000" w:rsidRPr="00000000">
                                <w:rPr>
                                  <w:rFonts w:ascii="Arial" w:cs="Arial" w:eastAsia="Arial" w:hAnsi="Arial"/>
                                  <w:b w:val="0"/>
                                  <w:i w:val="0"/>
                                  <w:smallCaps w:val="0"/>
                                  <w:strike w:val="0"/>
                                  <w:color w:val="000000"/>
                                  <w:sz w:val="26"/>
                                  <w:vertAlign w:val="baseline"/>
                                </w:rPr>
                                <w:t xml:space="preserve">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E</w:t>
                              </w:r>
                              <w:r w:rsidDel="00000000" w:rsidR="00000000" w:rsidRPr="00000000">
                                <w:rPr>
                                  <w:rFonts w:ascii="Arial" w:cs="Arial" w:eastAsia="Arial" w:hAnsi="Arial"/>
                                  <w:b w:val="0"/>
                                  <w:i w:val="0"/>
                                  <w:smallCaps w:val="0"/>
                                  <w:strike w:val="0"/>
                                  <w:color w:val="000000"/>
                                  <w:sz w:val="26"/>
                                  <w:vertAlign w:val="baseline"/>
                                </w:rPr>
                                <w:t xml:space="preserve">ducation,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Income,</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Occupation,</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Household members</w:t>
                              </w:r>
                            </w:p>
                          </w:txbxContent>
                        </wps:txbx>
                        <wps:bodyPr anchorCtr="0" anchor="ctr" bIns="91425" lIns="91425" spcFirstLastPara="1" rIns="91425" wrap="square" tIns="91425">
                          <a:noAutofit/>
                        </wps:bodyPr>
                      </wps:wsp>
                      <wps:wsp>
                        <wps:cNvSpPr/>
                        <wps:cNvPr id="4" name="Shape 4"/>
                        <wps:spPr>
                          <a:xfrm>
                            <a:off x="660150" y="3914700"/>
                            <a:ext cx="2253900" cy="10824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6"/>
                                  <w:vertAlign w:val="baseline"/>
                                </w:rPr>
                                <w:t xml:space="preserve">Health Seeking Behaviors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1"/>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Hospital visits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Medication time</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Refill medicines</w:t>
                              </w:r>
                            </w:p>
                          </w:txbxContent>
                        </wps:txbx>
                        <wps:bodyPr anchorCtr="0" anchor="ctr" bIns="91425" lIns="91425" spcFirstLastPara="1" rIns="91425" wrap="square" tIns="91425">
                          <a:noAutofit/>
                        </wps:bodyPr>
                      </wps:wsp>
                      <wps:wsp>
                        <wps:cNvSpPr/>
                        <wps:cNvPr id="5" name="Shape 5"/>
                        <wps:spPr>
                          <a:xfrm>
                            <a:off x="636450" y="2561700"/>
                            <a:ext cx="2301300" cy="12783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6"/>
                                  <w:vertAlign w:val="baseline"/>
                                </w:rPr>
                                <w:t xml:space="preserve">Self Reported other C</w:t>
                              </w:r>
                              <w:r w:rsidDel="00000000" w:rsidR="00000000" w:rsidRPr="00000000">
                                <w:rPr>
                                  <w:rFonts w:ascii="Arial" w:cs="Arial" w:eastAsia="Arial" w:hAnsi="Arial"/>
                                  <w:b w:val="1"/>
                                  <w:i w:val="0"/>
                                  <w:smallCaps w:val="0"/>
                                  <w:strike w:val="0"/>
                                  <w:color w:val="000000"/>
                                  <w:sz w:val="26"/>
                                  <w:vertAlign w:val="baseline"/>
                                </w:rPr>
                                <w:t xml:space="preserve">omorbidities</w:t>
                              </w:r>
                              <w:r w:rsidDel="00000000" w:rsidR="00000000" w:rsidRPr="00000000">
                                <w:rPr>
                                  <w:rFonts w:ascii="Arial" w:cs="Arial" w:eastAsia="Arial" w:hAnsi="Arial"/>
                                  <w:b w:val="0"/>
                                  <w:i w:val="0"/>
                                  <w:smallCaps w:val="0"/>
                                  <w:strike w:val="0"/>
                                  <w:color w:val="000000"/>
                                  <w:sz w:val="28"/>
                                  <w:vertAlign w:val="baseline"/>
                                </w:rPr>
                                <w:t xml:space="preserve">:</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6"/>
                                  <w:vertAlign w:val="baseline"/>
                                </w:rPr>
                                <w:t xml:space="preserve"> Diabetes,</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 Cardiovascular disease, </w:t>
                              </w:r>
                            </w:p>
                            <w:p w:rsidR="00000000" w:rsidDel="00000000" w:rsidP="00000000" w:rsidRDefault="00000000" w:rsidRPr="00000000">
                              <w:pPr>
                                <w:spacing w:after="0" w:before="0" w:line="240"/>
                                <w:ind w:left="720" w:right="0" w:firstLine="360"/>
                                <w:jc w:val="left"/>
                                <w:textDirection w:val="btLr"/>
                              </w:pPr>
                              <w:r w:rsidDel="00000000" w:rsidR="00000000" w:rsidRPr="00000000">
                                <w:rPr>
                                  <w:rFonts w:ascii="Arial" w:cs="Arial" w:eastAsia="Arial" w:hAnsi="Arial"/>
                                  <w:b w:val="0"/>
                                  <w:i w:val="0"/>
                                  <w:smallCaps w:val="0"/>
                                  <w:strike w:val="0"/>
                                  <w:color w:val="000000"/>
                                  <w:sz w:val="26"/>
                                  <w:vertAlign w:val="baseline"/>
                                </w:rPr>
                              </w:r>
                              <w:r w:rsidDel="00000000" w:rsidR="00000000" w:rsidRPr="00000000">
                                <w:rPr>
                                  <w:rFonts w:ascii="Arial" w:cs="Arial" w:eastAsia="Arial" w:hAnsi="Arial"/>
                                  <w:b w:val="0"/>
                                  <w:i w:val="0"/>
                                  <w:smallCaps w:val="0"/>
                                  <w:strike w:val="0"/>
                                  <w:color w:val="000000"/>
                                  <w:sz w:val="26"/>
                                  <w:vertAlign w:val="baseline"/>
                                </w:rPr>
                                <w:t xml:space="preserve">Lung disease</w:t>
                              </w:r>
                              <w:r w:rsidDel="00000000" w:rsidR="00000000" w:rsidRPr="00000000">
                                <w:rPr>
                                  <w:rFonts w:ascii="Arial" w:cs="Arial" w:eastAsia="Arial" w:hAnsi="Arial"/>
                                  <w:b w:val="0"/>
                                  <w:i w:val="0"/>
                                  <w:smallCaps w:val="0"/>
                                  <w:strike w:val="0"/>
                                  <w:color w:val="000000"/>
                                  <w:sz w:val="26"/>
                                  <w:vertAlign w:val="baseline"/>
                                </w:rPr>
                                <w:t xml:space="preserve"> etc</w:t>
                              </w:r>
                            </w:p>
                          </w:txbxContent>
                        </wps:txbx>
                        <wps:bodyPr anchorCtr="0" anchor="ctr" bIns="91425" lIns="91425" spcFirstLastPara="1" rIns="91425" wrap="square" tIns="91425">
                          <a:noAutofit/>
                        </wps:bodyPr>
                      </wps:wsp>
                      <wps:wsp>
                        <wps:cNvSpPr txBox="1"/>
                        <wps:cNvPr id="6" name="Shape 6"/>
                        <wps:spPr>
                          <a:xfrm>
                            <a:off x="5120050" y="107850"/>
                            <a:ext cx="1227000" cy="3579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8"/>
                                  <w:vertAlign w:val="baseline"/>
                                </w:rPr>
                                <w:t xml:space="preserve">Outcome</w:t>
                              </w:r>
                            </w:p>
                          </w:txbxContent>
                        </wps:txbx>
                        <wps:bodyPr anchorCtr="0" anchor="t" bIns="91425" lIns="91425" spcFirstLastPara="1" rIns="91425" wrap="square" tIns="91425">
                          <a:noAutofit/>
                        </wps:bodyPr>
                      </wps:wsp>
                      <wps:wsp>
                        <wps:cNvSpPr txBox="1"/>
                        <wps:cNvPr id="7" name="Shape 7"/>
                        <wps:spPr>
                          <a:xfrm>
                            <a:off x="918650" y="145200"/>
                            <a:ext cx="1421400" cy="2832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8"/>
                                  <w:vertAlign w:val="baseline"/>
                                </w:rPr>
                                <w:t xml:space="preserve">Exposures</w:t>
                              </w:r>
                            </w:p>
                          </w:txbxContent>
                        </wps:txbx>
                        <wps:bodyPr anchorCtr="0" anchor="t" bIns="91425" lIns="91425" spcFirstLastPara="1" rIns="91425" wrap="square" tIns="91425">
                          <a:noAutofit/>
                        </wps:bodyPr>
                      </wps:wsp>
                      <wps:wsp>
                        <wps:cNvSpPr/>
                        <wps:cNvPr id="8" name="Shape 8"/>
                        <wps:spPr>
                          <a:xfrm>
                            <a:off x="4838775" y="1382550"/>
                            <a:ext cx="1779300" cy="12783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CnPr/>
                        <wps:spPr>
                          <a:xfrm>
                            <a:off x="2984100" y="1495050"/>
                            <a:ext cx="1854600" cy="526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flipH="1" rot="10800000">
                            <a:off x="2914050" y="2021700"/>
                            <a:ext cx="1924800" cy="24342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flipH="1" rot="10800000">
                            <a:off x="2937750" y="2021850"/>
                            <a:ext cx="1901100" cy="11790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wgp>
                  </a:graphicData>
                </a:graphic>
              </wp:anchor>
            </w:drawing>
          </mc:Choice>
          <mc:Fallback>
            <w:drawing>
              <wp:anchor allowOverlap="1" behindDoc="0" distB="114300" distT="114300" distL="114300" distR="114300" hidden="0" layoutInCell="1" locked="0" relativeHeight="0" simplePos="0">
                <wp:simplePos x="0" y="0"/>
                <wp:positionH relativeFrom="column">
                  <wp:posOffset>176213</wp:posOffset>
                </wp:positionH>
                <wp:positionV relativeFrom="paragraph">
                  <wp:posOffset>148310</wp:posOffset>
                </wp:positionV>
                <wp:extent cx="4910138" cy="3977950"/>
                <wp:effectExtent b="0" l="0" r="0" t="0"/>
                <wp:wrapSquare wrapText="bothSides" distB="114300" distT="114300" distL="114300" distR="114300"/>
                <wp:docPr id="1" name="image7.png"/>
                <a:graphic>
                  <a:graphicData uri="http://schemas.openxmlformats.org/drawingml/2006/picture">
                    <pic:pic>
                      <pic:nvPicPr>
                        <pic:cNvPr id="0" name="image7.png"/>
                        <pic:cNvPicPr preferRelativeResize="0"/>
                      </pic:nvPicPr>
                      <pic:blipFill>
                        <a:blip r:embed="rId7"/>
                        <a:srcRect/>
                        <a:stretch>
                          <a:fillRect/>
                        </a:stretch>
                      </pic:blipFill>
                      <pic:spPr>
                        <a:xfrm>
                          <a:off x="0" y="0"/>
                          <a:ext cx="4910138" cy="3977950"/>
                        </a:xfrm>
                        <a:prstGeom prst="rect"/>
                        <a:ln/>
                      </pic:spPr>
                    </pic:pic>
                  </a:graphicData>
                </a:graphic>
              </wp:anchor>
            </w:drawing>
          </mc:Fallback>
        </mc:AlternateContent>
      </w:r>
    </w:p>
    <w:p w:rsidR="00000000" w:rsidDel="00000000" w:rsidP="00000000" w:rsidRDefault="00000000" w:rsidRPr="00000000" w14:paraId="0000004F">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0">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1">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2">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3">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4">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5">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6">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7">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8">
      <w:pPr>
        <w:spacing w:line="276" w:lineRule="auto"/>
        <w:ind w:firstLine="72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9">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A">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B">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C">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D">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E">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F">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0">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1">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2">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3">
      <w:pPr>
        <w:spacing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4">
      <w:pPr>
        <w:spacing w:line="276"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Methodology</w:t>
      </w:r>
    </w:p>
    <w:p w:rsidR="00000000" w:rsidDel="00000000" w:rsidP="00000000" w:rsidRDefault="00000000" w:rsidRPr="00000000" w14:paraId="00000065">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Study Design:</w:t>
      </w:r>
      <w:r w:rsidDel="00000000" w:rsidR="00000000" w:rsidRPr="00000000">
        <w:rPr>
          <w:rtl w:val="0"/>
        </w:rPr>
      </w:r>
    </w:p>
    <w:p w:rsidR="00000000" w:rsidDel="00000000" w:rsidP="00000000" w:rsidRDefault="00000000" w:rsidRPr="00000000" w14:paraId="00000066">
      <w:pPr>
        <w:spacing w:line="276" w:lineRule="auto"/>
        <w:ind w:left="0" w:firstLine="0"/>
        <w:jc w:val="both"/>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This study used a cross-sectional design to assess the prevalence and determinants of low medication adherence among hypertensive patients in Chittagong. </w:t>
      </w:r>
      <w:r w:rsidDel="00000000" w:rsidR="00000000" w:rsidRPr="00000000">
        <w:rPr>
          <w:rtl w:val="0"/>
        </w:rPr>
      </w:r>
    </w:p>
    <w:p w:rsidR="00000000" w:rsidDel="00000000" w:rsidP="00000000" w:rsidRDefault="00000000" w:rsidRPr="00000000" w14:paraId="00000067">
      <w:pPr>
        <w:spacing w:line="276"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spacing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Study Population:</w:t>
      </w:r>
    </w:p>
    <w:p w:rsidR="00000000" w:rsidDel="00000000" w:rsidP="00000000" w:rsidRDefault="00000000" w:rsidRPr="00000000" w14:paraId="00000069">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population for this investigation was planned to be done on the patients of the Non-Communicable Disease Corner in the various hospitals of Chattogram. The inclusion criteria were 1) All the patients had to meet the age of 18 or above and with prescribed medication for defined hypertension for at least a month 2) patient with other co-morbidities were also included in this study. Women getting hypertension due to pregnancy and other patients with no prescribed medication as a treatment for hypertension were excluded from the study.</w:t>
      </w:r>
    </w:p>
    <w:p w:rsidR="00000000" w:rsidDel="00000000" w:rsidP="00000000" w:rsidRDefault="00000000" w:rsidRPr="00000000" w14:paraId="0000006A">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spacing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Study Site: </w:t>
      </w:r>
      <w:r w:rsidDel="00000000" w:rsidR="00000000" w:rsidRPr="00000000">
        <w:rPr>
          <w:rtl w:val="0"/>
        </w:rPr>
      </w:r>
    </w:p>
    <w:p w:rsidR="00000000" w:rsidDel="00000000" w:rsidP="00000000" w:rsidRDefault="00000000" w:rsidRPr="00000000" w14:paraId="0000006C">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To ensure the accuracy of the data on the prevalence and determinants of medication adherence among hypertensive patients, all the information of the patients was collected from the respective Non-Communicable Disease Corner (NCD Corner) of four different government hospitals selected. Both outdoor(NCD corner) and indoor patients from “250 bed of Chattogram General Hospital”, Upozila Health Complexes like “ Patiya Upozila Health Complex, Hathazari Upozila Health Complex, Anwara Upozila Health Complex” were covered to interview hypertensive patients along with other non-communicable diseases.</w:t>
      </w:r>
    </w:p>
    <w:p w:rsidR="00000000" w:rsidDel="00000000" w:rsidP="00000000" w:rsidRDefault="00000000" w:rsidRPr="00000000" w14:paraId="0000006D">
      <w:pPr>
        <w:spacing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Sampling Method (s):</w:t>
      </w:r>
    </w:p>
    <w:p w:rsidR="00000000" w:rsidDel="00000000" w:rsidP="00000000" w:rsidRDefault="00000000" w:rsidRPr="00000000" w14:paraId="0000006E">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hospitals were selected purposively as they are well-known hospitals that has deignated NCD corner based on discussion with civil surgeon office based on discussion with civil sugeon office. These hospitals are always filled with patients with diverse socioeconomic backgrounds. Simple random sampling was employed to select study participants to assess the prevalence and determinants of low medication adherence within the hospital premises. To minimize selection bias, the Principal Investigator (PI) and research assistants ensured that every patient with a prescription from the NCD corner present at the time had an equal chance of being selected for the interview. This approach aimed to achieve comprehensive coverage of the maximum number of patients available during the study time.</w:t>
      </w:r>
    </w:p>
    <w:p w:rsidR="00000000" w:rsidDel="00000000" w:rsidP="00000000" w:rsidRDefault="00000000" w:rsidRPr="00000000" w14:paraId="0000006F">
      <w:pPr>
        <w:spacing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Sample Size:</w:t>
      </w:r>
    </w:p>
    <w:p w:rsidR="00000000" w:rsidDel="00000000" w:rsidP="00000000" w:rsidRDefault="00000000" w:rsidRPr="00000000" w14:paraId="00000070">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The study’s sample size was established using a formula that considered the confidence level, the desired degree of precision, and an estimated prevalence of hypertension in Bangladesh. The estimated sample size was approximately 329 participants (excluding</w:t>
      </w:r>
    </w:p>
    <w:p w:rsidR="00000000" w:rsidDel="00000000" w:rsidP="00000000" w:rsidRDefault="00000000" w:rsidRPr="00000000" w14:paraId="00000071">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any non-response rate), based on a conservative 31% prevalence rate, a 5% margin of error, and</w:t>
      </w:r>
    </w:p>
    <w:p w:rsidR="00000000" w:rsidDel="00000000" w:rsidP="00000000" w:rsidRDefault="00000000" w:rsidRPr="00000000" w14:paraId="00000072">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95% confidence level.</w:t>
      </w:r>
    </w:p>
    <w:p w:rsidR="00000000" w:rsidDel="00000000" w:rsidP="00000000" w:rsidRDefault="00000000" w:rsidRPr="00000000" w14:paraId="00000073">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formula below can be used to determine the sample size:</w:t>
      </w:r>
    </w:p>
    <w:p w:rsidR="00000000" w:rsidDel="00000000" w:rsidP="00000000" w:rsidRDefault="00000000" w:rsidRPr="00000000" w14:paraId="00000075">
      <w:pPr>
        <w:spacing w:line="276" w:lineRule="auto"/>
        <w:jc w:val="both"/>
        <w:rPr>
          <w:rFonts w:ascii="Times New Roman" w:cs="Times New Roman" w:eastAsia="Times New Roman" w:hAnsi="Times New Roman"/>
          <w:sz w:val="24"/>
          <w:szCs w:val="24"/>
          <w:highlight w:val="white"/>
          <w:vertAlign w:val="superscript"/>
        </w:rPr>
      </w:pPr>
      <w:r w:rsidDel="00000000" w:rsidR="00000000" w:rsidRPr="00000000">
        <w:rPr>
          <w:rFonts w:ascii="Times New Roman" w:cs="Times New Roman" w:eastAsia="Times New Roman" w:hAnsi="Times New Roman"/>
          <w:sz w:val="24"/>
          <w:szCs w:val="24"/>
          <w:highlight w:val="white"/>
          <w:rtl w:val="0"/>
        </w:rPr>
        <w:t xml:space="preserve">n=Z</w:t>
      </w:r>
      <w:r w:rsidDel="00000000" w:rsidR="00000000" w:rsidRPr="00000000">
        <w:rPr>
          <w:rFonts w:ascii="Times New Roman" w:cs="Times New Roman" w:eastAsia="Times New Roman" w:hAnsi="Times New Roman"/>
          <w:sz w:val="24"/>
          <w:szCs w:val="24"/>
          <w:highlight w:val="white"/>
          <w:vertAlign w:val="superscript"/>
          <w:rtl w:val="0"/>
        </w:rPr>
        <w:t xml:space="preserve">2</w:t>
      </w:r>
      <w:r w:rsidDel="00000000" w:rsidR="00000000" w:rsidRPr="00000000">
        <w:rPr>
          <w:rFonts w:ascii="Times New Roman" w:cs="Times New Roman" w:eastAsia="Times New Roman" w:hAnsi="Times New Roman"/>
          <w:sz w:val="24"/>
          <w:szCs w:val="24"/>
          <w:highlight w:val="white"/>
          <w:vertAlign w:val="subscript"/>
          <w:rtl w:val="0"/>
        </w:rPr>
        <w:t xml:space="preserve">1-α/2</w:t>
      </w:r>
      <w:r w:rsidDel="00000000" w:rsidR="00000000" w:rsidRPr="00000000">
        <w:rPr>
          <w:rFonts w:ascii="Times New Roman" w:cs="Times New Roman" w:eastAsia="Times New Roman" w:hAnsi="Times New Roman"/>
          <w:sz w:val="24"/>
          <w:szCs w:val="24"/>
          <w:highlight w:val="white"/>
          <w:rtl w:val="0"/>
        </w:rPr>
        <w:t xml:space="preserve">P(1-P)/d</w:t>
      </w:r>
      <w:r w:rsidDel="00000000" w:rsidR="00000000" w:rsidRPr="00000000">
        <w:rPr>
          <w:rFonts w:ascii="Times New Roman" w:cs="Times New Roman" w:eastAsia="Times New Roman" w:hAnsi="Times New Roman"/>
          <w:sz w:val="24"/>
          <w:szCs w:val="24"/>
          <w:highlight w:val="white"/>
          <w:vertAlign w:val="superscript"/>
          <w:rtl w:val="0"/>
        </w:rPr>
        <w:t xml:space="preserve">2</w:t>
      </w:r>
    </w:p>
    <w:p w:rsidR="00000000" w:rsidDel="00000000" w:rsidP="00000000" w:rsidRDefault="00000000" w:rsidRPr="00000000" w14:paraId="00000076">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Where,</w:t>
      </w:r>
    </w:p>
    <w:p w:rsidR="00000000" w:rsidDel="00000000" w:rsidP="00000000" w:rsidRDefault="00000000" w:rsidRPr="00000000" w14:paraId="00000077">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 Sample size</w:t>
      </w:r>
    </w:p>
    <w:p w:rsidR="00000000" w:rsidDel="00000000" w:rsidP="00000000" w:rsidRDefault="00000000" w:rsidRPr="00000000" w14:paraId="00000078">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 Population proportion</w:t>
      </w:r>
    </w:p>
    <w:p w:rsidR="00000000" w:rsidDel="00000000" w:rsidP="00000000" w:rsidRDefault="00000000" w:rsidRPr="00000000" w14:paraId="00000079">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 Absolute precision required on either side of the proportion</w:t>
      </w:r>
    </w:p>
    <w:p w:rsidR="00000000" w:rsidDel="00000000" w:rsidP="00000000" w:rsidRDefault="00000000" w:rsidRPr="00000000" w14:paraId="0000007A">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1-α= Confidence level</w:t>
      </w:r>
    </w:p>
    <w:p w:rsidR="00000000" w:rsidDel="00000000" w:rsidP="00000000" w:rsidRDefault="00000000" w:rsidRPr="00000000" w14:paraId="0000007B">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i.e.</w:t>
      </w:r>
    </w:p>
    <w:p w:rsidR="00000000" w:rsidDel="00000000" w:rsidP="00000000" w:rsidRDefault="00000000" w:rsidRPr="00000000" w14:paraId="0000007C">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 31%</w:t>
      </w:r>
    </w:p>
    <w:p w:rsidR="00000000" w:rsidDel="00000000" w:rsidP="00000000" w:rsidRDefault="00000000" w:rsidRPr="00000000" w14:paraId="0000007D">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=0.31</w:t>
      </w:r>
    </w:p>
    <w:p w:rsidR="00000000" w:rsidDel="00000000" w:rsidP="00000000" w:rsidRDefault="00000000" w:rsidRPr="00000000" w14:paraId="0000007E">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1-p=1-0.31</w:t>
      </w:r>
    </w:p>
    <w:p w:rsidR="00000000" w:rsidDel="00000000" w:rsidP="00000000" w:rsidRDefault="00000000" w:rsidRPr="00000000" w14:paraId="0000007F">
      <w:pPr>
        <w:spacing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0">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=0.69</w:t>
      </w:r>
    </w:p>
    <w:p w:rsidR="00000000" w:rsidDel="00000000" w:rsidP="00000000" w:rsidRDefault="00000000" w:rsidRPr="00000000" w14:paraId="00000081">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 5%</w:t>
      </w:r>
    </w:p>
    <w:p w:rsidR="00000000" w:rsidDel="00000000" w:rsidP="00000000" w:rsidRDefault="00000000" w:rsidRPr="00000000" w14:paraId="00000082">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 0.05</w:t>
      </w:r>
    </w:p>
    <w:p w:rsidR="00000000" w:rsidDel="00000000" w:rsidP="00000000" w:rsidRDefault="00000000" w:rsidRPr="00000000" w14:paraId="00000083">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α/2= (0.05/2)</w:t>
      </w:r>
    </w:p>
    <w:p w:rsidR="00000000" w:rsidDel="00000000" w:rsidP="00000000" w:rsidRDefault="00000000" w:rsidRPr="00000000" w14:paraId="00000084">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=0.025</w:t>
      </w:r>
    </w:p>
    <w:p w:rsidR="00000000" w:rsidDel="00000000" w:rsidP="00000000" w:rsidRDefault="00000000" w:rsidRPr="00000000" w14:paraId="00000085">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1-α/2=1-0.025    =0.97</w:t>
      </w:r>
    </w:p>
    <w:p w:rsidR="00000000" w:rsidDel="00000000" w:rsidP="00000000" w:rsidRDefault="00000000" w:rsidRPr="00000000" w14:paraId="00000086">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Z</w:t>
      </w:r>
      <w:r w:rsidDel="00000000" w:rsidR="00000000" w:rsidRPr="00000000">
        <w:rPr>
          <w:rFonts w:ascii="Times New Roman" w:cs="Times New Roman" w:eastAsia="Times New Roman" w:hAnsi="Times New Roman"/>
          <w:sz w:val="24"/>
          <w:szCs w:val="24"/>
          <w:highlight w:val="white"/>
          <w:vertAlign w:val="subscript"/>
          <w:rtl w:val="0"/>
        </w:rPr>
        <w:t xml:space="preserve">0.975</w:t>
      </w:r>
      <w:r w:rsidDel="00000000" w:rsidR="00000000" w:rsidRPr="00000000">
        <w:rPr>
          <w:rFonts w:ascii="Times New Roman" w:cs="Times New Roman" w:eastAsia="Times New Roman" w:hAnsi="Times New Roman"/>
          <w:sz w:val="24"/>
          <w:szCs w:val="24"/>
          <w:highlight w:val="white"/>
          <w:rtl w:val="0"/>
        </w:rPr>
        <w:t xml:space="preserve">=1.96</w:t>
      </w:r>
    </w:p>
    <w:p w:rsidR="00000000" w:rsidDel="00000000" w:rsidP="00000000" w:rsidRDefault="00000000" w:rsidRPr="00000000" w14:paraId="00000087">
      <w:pPr>
        <w:spacing w:line="276" w:lineRule="auto"/>
        <w:jc w:val="both"/>
        <w:rPr>
          <w:rFonts w:ascii="Times New Roman" w:cs="Times New Roman" w:eastAsia="Times New Roman" w:hAnsi="Times New Roman"/>
          <w:sz w:val="24"/>
          <w:szCs w:val="24"/>
          <w:highlight w:val="white"/>
          <w:vertAlign w:val="superscript"/>
        </w:rPr>
      </w:pPr>
      <w:r w:rsidDel="00000000" w:rsidR="00000000" w:rsidRPr="00000000">
        <w:rPr>
          <w:rFonts w:ascii="Times New Roman" w:cs="Times New Roman" w:eastAsia="Times New Roman" w:hAnsi="Times New Roman"/>
          <w:sz w:val="24"/>
          <w:szCs w:val="24"/>
          <w:highlight w:val="white"/>
          <w:rtl w:val="0"/>
        </w:rPr>
        <w:t xml:space="preserve">n=Z</w:t>
      </w:r>
      <w:r w:rsidDel="00000000" w:rsidR="00000000" w:rsidRPr="00000000">
        <w:rPr>
          <w:rFonts w:ascii="Times New Roman" w:cs="Times New Roman" w:eastAsia="Times New Roman" w:hAnsi="Times New Roman"/>
          <w:sz w:val="24"/>
          <w:szCs w:val="24"/>
          <w:highlight w:val="white"/>
          <w:vertAlign w:val="superscript"/>
          <w:rtl w:val="0"/>
        </w:rPr>
        <w:t xml:space="preserve">2</w:t>
      </w:r>
      <w:r w:rsidDel="00000000" w:rsidR="00000000" w:rsidRPr="00000000">
        <w:rPr>
          <w:rFonts w:ascii="Times New Roman" w:cs="Times New Roman" w:eastAsia="Times New Roman" w:hAnsi="Times New Roman"/>
          <w:sz w:val="24"/>
          <w:szCs w:val="24"/>
          <w:highlight w:val="white"/>
          <w:vertAlign w:val="subscript"/>
          <w:rtl w:val="0"/>
        </w:rPr>
        <w:t xml:space="preserve">1-α/2</w:t>
      </w:r>
      <w:r w:rsidDel="00000000" w:rsidR="00000000" w:rsidRPr="00000000">
        <w:rPr>
          <w:rFonts w:ascii="Times New Roman" w:cs="Times New Roman" w:eastAsia="Times New Roman" w:hAnsi="Times New Roman"/>
          <w:sz w:val="24"/>
          <w:szCs w:val="24"/>
          <w:highlight w:val="white"/>
          <w:rtl w:val="0"/>
        </w:rPr>
        <w:t xml:space="preserve">P(1-P)/d</w:t>
      </w:r>
      <w:r w:rsidDel="00000000" w:rsidR="00000000" w:rsidRPr="00000000">
        <w:rPr>
          <w:rFonts w:ascii="Times New Roman" w:cs="Times New Roman" w:eastAsia="Times New Roman" w:hAnsi="Times New Roman"/>
          <w:sz w:val="24"/>
          <w:szCs w:val="24"/>
          <w:highlight w:val="white"/>
          <w:vertAlign w:val="superscript"/>
          <w:rtl w:val="0"/>
        </w:rPr>
        <w:t xml:space="preserve">2</w:t>
      </w:r>
    </w:p>
    <w:p w:rsidR="00000000" w:rsidDel="00000000" w:rsidP="00000000" w:rsidRDefault="00000000" w:rsidRPr="00000000" w14:paraId="00000088">
      <w:pPr>
        <w:spacing w:line="276" w:lineRule="auto"/>
        <w:jc w:val="both"/>
        <w:rPr>
          <w:rFonts w:ascii="Times New Roman" w:cs="Times New Roman" w:eastAsia="Times New Roman" w:hAnsi="Times New Roman"/>
          <w:sz w:val="24"/>
          <w:szCs w:val="24"/>
          <w:highlight w:val="white"/>
          <w:vertAlign w:val="superscript"/>
        </w:rPr>
      </w:pPr>
      <w:r w:rsidDel="00000000" w:rsidR="00000000" w:rsidRPr="00000000">
        <w:rPr>
          <w:rFonts w:ascii="Times New Roman" w:cs="Times New Roman" w:eastAsia="Times New Roman" w:hAnsi="Times New Roman"/>
          <w:sz w:val="24"/>
          <w:szCs w:val="24"/>
          <w:highlight w:val="white"/>
          <w:rtl w:val="0"/>
        </w:rPr>
        <w:t xml:space="preserve"> =1.96</w:t>
      </w:r>
      <w:r w:rsidDel="00000000" w:rsidR="00000000" w:rsidRPr="00000000">
        <w:rPr>
          <w:rFonts w:ascii="Times New Roman" w:cs="Times New Roman" w:eastAsia="Times New Roman" w:hAnsi="Times New Roman"/>
          <w:sz w:val="24"/>
          <w:szCs w:val="24"/>
          <w:highlight w:val="white"/>
          <w:vertAlign w:val="superscript"/>
          <w:rtl w:val="0"/>
        </w:rPr>
        <w:t xml:space="preserve">2</w:t>
      </w:r>
      <w:r w:rsidDel="00000000" w:rsidR="00000000" w:rsidRPr="00000000">
        <w:rPr>
          <w:rFonts w:ascii="Times New Roman" w:cs="Times New Roman" w:eastAsia="Times New Roman" w:hAnsi="Times New Roman"/>
          <w:sz w:val="24"/>
          <w:szCs w:val="24"/>
          <w:highlight w:val="white"/>
          <w:rtl w:val="0"/>
        </w:rPr>
        <w:t xml:space="preserve">*0.31(1-0.31)/0.05</w:t>
      </w:r>
      <w:r w:rsidDel="00000000" w:rsidR="00000000" w:rsidRPr="00000000">
        <w:rPr>
          <w:rFonts w:ascii="Times New Roman" w:cs="Times New Roman" w:eastAsia="Times New Roman" w:hAnsi="Times New Roman"/>
          <w:sz w:val="24"/>
          <w:szCs w:val="24"/>
          <w:highlight w:val="white"/>
          <w:vertAlign w:val="superscript"/>
          <w:rtl w:val="0"/>
        </w:rPr>
        <w:t xml:space="preserve">2</w:t>
      </w:r>
    </w:p>
    <w:p w:rsidR="00000000" w:rsidDel="00000000" w:rsidP="00000000" w:rsidRDefault="00000000" w:rsidRPr="00000000" w14:paraId="00000089">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=328.68=329</w:t>
      </w:r>
    </w:p>
    <w:p w:rsidR="00000000" w:rsidDel="00000000" w:rsidP="00000000" w:rsidRDefault="00000000" w:rsidRPr="00000000" w14:paraId="0000008A">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20% non-response rate,</w:t>
      </w:r>
    </w:p>
    <w:p w:rsidR="00000000" w:rsidDel="00000000" w:rsidP="00000000" w:rsidRDefault="00000000" w:rsidRPr="00000000" w14:paraId="0000008B">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20% of 384 = 65.8</w:t>
      </w:r>
    </w:p>
    <w:p w:rsidR="00000000" w:rsidDel="00000000" w:rsidP="00000000" w:rsidRDefault="00000000" w:rsidRPr="00000000" w14:paraId="0000008C">
      <w:pPr>
        <w:spacing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D">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 329+65.8</w:t>
      </w:r>
    </w:p>
    <w:p w:rsidR="00000000" w:rsidDel="00000000" w:rsidP="00000000" w:rsidRDefault="00000000" w:rsidRPr="00000000" w14:paraId="0000008E">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=394.8~395</w:t>
      </w:r>
    </w:p>
    <w:p w:rsidR="00000000" w:rsidDel="00000000" w:rsidP="00000000" w:rsidRDefault="00000000" w:rsidRPr="00000000" w14:paraId="0000008F">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 the sample size is 395</w:t>
      </w:r>
      <w:r w:rsidDel="00000000" w:rsidR="00000000" w:rsidRPr="00000000">
        <w:rPr>
          <w:rtl w:val="0"/>
        </w:rPr>
      </w:r>
    </w:p>
    <w:p w:rsidR="00000000" w:rsidDel="00000000" w:rsidP="00000000" w:rsidRDefault="00000000" w:rsidRPr="00000000" w14:paraId="00000090">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Data Collection Tool:</w:t>
      </w:r>
    </w:p>
    <w:p w:rsidR="00000000" w:rsidDel="00000000" w:rsidP="00000000" w:rsidRDefault="00000000" w:rsidRPr="00000000" w14:paraId="00000091">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well-structured questionnaire with appropriate response options was used, featuring 4 different sections on socio-demographic information, self-reported disease or other co-morbidities (Diabetes, hypertension, Heart Disease or stroke, Eye Problems, Kidney Disease, Neurological Diseases, Diabetic Ulcer or diabetic foot, Cancer, Asthma/COPD/ Bronchitis, Tuberculosis and other diseases), healthcare-seeking behavior of the population, and for measuring the outcome ‘ low medication adherence’  medication history and self-reported medication adherence with 8 scale morisky medication adherence scale along with simplified medication adherence questionnaire were used</w:t>
      </w:r>
      <w:r w:rsidDel="00000000" w:rsidR="00000000" w:rsidRPr="00000000">
        <w:rPr>
          <w:rFonts w:ascii="Times New Roman" w:cs="Times New Roman" w:eastAsia="Times New Roman" w:hAnsi="Times New Roman"/>
          <w:sz w:val="24"/>
          <w:szCs w:val="24"/>
          <w:highlight w:val="white"/>
          <w:rtl w:val="0"/>
        </w:rPr>
        <w:t xml:space="preserve">. In the</w:t>
      </w:r>
      <w:hyperlink r:id="rId8">
        <w:r w:rsidDel="00000000" w:rsidR="00000000" w:rsidRPr="00000000">
          <w:rPr>
            <w:rFonts w:ascii="Times New Roman" w:cs="Times New Roman" w:eastAsia="Times New Roman" w:hAnsi="Times New Roman"/>
            <w:color w:val="1155cc"/>
            <w:sz w:val="24"/>
            <w:szCs w:val="24"/>
            <w:highlight w:val="white"/>
            <w:u w:val="single"/>
            <w:rtl w:val="0"/>
          </w:rPr>
          <w:t xml:space="preserve"> MMAS-8,</w:t>
        </w:r>
      </w:hyperlink>
      <w:r w:rsidDel="00000000" w:rsidR="00000000" w:rsidRPr="00000000">
        <w:rPr>
          <w:rFonts w:ascii="Times New Roman" w:cs="Times New Roman" w:eastAsia="Times New Roman" w:hAnsi="Times New Roman"/>
          <w:sz w:val="24"/>
          <w:szCs w:val="24"/>
          <w:highlight w:val="white"/>
          <w:rtl w:val="0"/>
        </w:rPr>
        <w:t xml:space="preserve"> patients who scored more than 2 were identified as low adherence, a score of 1 or 2 was medium adherence, and a score of 0 was identified as high adherence to their prescribed medication.</w:t>
      </w:r>
      <w:r w:rsidDel="00000000" w:rsidR="00000000" w:rsidRPr="00000000">
        <w:rPr>
          <w:rtl w:val="0"/>
        </w:rPr>
      </w:r>
    </w:p>
    <w:p w:rsidR="00000000" w:rsidDel="00000000" w:rsidP="00000000" w:rsidRDefault="00000000" w:rsidRPr="00000000" w14:paraId="00000092">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All the questions were asked in the patient’s native language, Bangla and the questions for the section sociodemographic information, self-reported disease, and outcome medication adherence sections were designed with unique numeric codes for proper data entry and analysis. Moreover, each questionnaire had a unique ID, date, and name of the hospital to avoid any analytical problems. </w:t>
      </w:r>
    </w:p>
    <w:p w:rsidR="00000000" w:rsidDel="00000000" w:rsidP="00000000" w:rsidRDefault="00000000" w:rsidRPr="00000000" w14:paraId="00000093">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Exposure Variables:</w:t>
      </w:r>
    </w:p>
    <w:p w:rsidR="00000000" w:rsidDel="00000000" w:rsidP="00000000" w:rsidRDefault="00000000" w:rsidRPr="00000000" w14:paraId="00000094">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For this study, socio-demographic information, self-reported diseases, and healthcare-seeking behaviors were defined as the exposures of low medication adherence. Each variable included different factors that were supposed to impact the outcome of medication adherence.</w:t>
      </w:r>
    </w:p>
    <w:p w:rsidR="00000000" w:rsidDel="00000000" w:rsidP="00000000" w:rsidRDefault="00000000" w:rsidRPr="00000000" w14:paraId="00000095">
      <w:pPr>
        <w:spacing w:line="276"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96">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Socio-Demographic Information:</w:t>
      </w:r>
    </w:p>
    <w:p w:rsidR="00000000" w:rsidDel="00000000" w:rsidP="00000000" w:rsidRDefault="00000000" w:rsidRPr="00000000" w14:paraId="00000097">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1.1 Age </w:t>
      </w:r>
      <w:r w:rsidDel="00000000" w:rsidR="00000000" w:rsidRPr="00000000">
        <w:rPr>
          <w:rFonts w:ascii="Times New Roman" w:cs="Times New Roman" w:eastAsia="Times New Roman" w:hAnsi="Times New Roman"/>
          <w:sz w:val="24"/>
          <w:szCs w:val="24"/>
          <w:highlight w:val="white"/>
          <w:rtl w:val="0"/>
        </w:rPr>
        <w:t xml:space="preserve">(Age in complete years):</w:t>
      </w:r>
    </w:p>
    <w:p w:rsidR="00000000" w:rsidDel="00000000" w:rsidP="00000000" w:rsidRDefault="00000000" w:rsidRPr="00000000" w14:paraId="00000098">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1.2 Sex: </w:t>
      </w:r>
      <w:r w:rsidDel="00000000" w:rsidR="00000000" w:rsidRPr="00000000">
        <w:rPr>
          <w:rFonts w:ascii="Times New Roman" w:cs="Times New Roman" w:eastAsia="Times New Roman" w:hAnsi="Times New Roman"/>
          <w:sz w:val="24"/>
          <w:szCs w:val="24"/>
          <w:highlight w:val="white"/>
          <w:rtl w:val="0"/>
        </w:rPr>
        <w:t xml:space="preserve"> 1= male, 2= female</w:t>
      </w:r>
    </w:p>
    <w:p w:rsidR="00000000" w:rsidDel="00000000" w:rsidP="00000000" w:rsidRDefault="00000000" w:rsidRPr="00000000" w14:paraId="00000099">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1.3 Religion: </w:t>
      </w:r>
      <w:r w:rsidDel="00000000" w:rsidR="00000000" w:rsidRPr="00000000">
        <w:rPr>
          <w:rFonts w:ascii="Times New Roman" w:cs="Times New Roman" w:eastAsia="Times New Roman" w:hAnsi="Times New Roman"/>
          <w:sz w:val="24"/>
          <w:szCs w:val="24"/>
          <w:highlight w:val="white"/>
          <w:rtl w:val="0"/>
        </w:rPr>
        <w:t xml:space="preserve">What is your religion? (1=islam, 2= hindu, 3=christian, 4= Buddhist, 5=Others)</w:t>
      </w:r>
    </w:p>
    <w:p w:rsidR="00000000" w:rsidDel="00000000" w:rsidP="00000000" w:rsidRDefault="00000000" w:rsidRPr="00000000" w14:paraId="0000009A">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1.4 Marital Status: </w:t>
      </w:r>
      <w:r w:rsidDel="00000000" w:rsidR="00000000" w:rsidRPr="00000000">
        <w:rPr>
          <w:rFonts w:ascii="Times New Roman" w:cs="Times New Roman" w:eastAsia="Times New Roman" w:hAnsi="Times New Roman"/>
          <w:sz w:val="24"/>
          <w:szCs w:val="24"/>
          <w:highlight w:val="white"/>
          <w:rtl w:val="0"/>
        </w:rPr>
        <w:t xml:space="preserve">what is your marital status?(1=Not married, 2= married, 3= widow/widower, 4=separated/divorced)</w:t>
      </w:r>
    </w:p>
    <w:p w:rsidR="00000000" w:rsidDel="00000000" w:rsidP="00000000" w:rsidRDefault="00000000" w:rsidRPr="00000000" w14:paraId="0000009B">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1.5 Highest Educational Qualification: </w:t>
      </w:r>
      <w:r w:rsidDel="00000000" w:rsidR="00000000" w:rsidRPr="00000000">
        <w:rPr>
          <w:rFonts w:ascii="Times New Roman" w:cs="Times New Roman" w:eastAsia="Times New Roman" w:hAnsi="Times New Roman"/>
          <w:sz w:val="24"/>
          <w:szCs w:val="24"/>
          <w:highlight w:val="white"/>
          <w:rtl w:val="0"/>
        </w:rPr>
        <w:t xml:space="preserve">What is your highest educational degree?(1=none, 2= primary school, 3= secondary school, 4= higher secondary school, 5= Graduate/Masters, 6= Others(technical))</w:t>
      </w:r>
    </w:p>
    <w:p w:rsidR="00000000" w:rsidDel="00000000" w:rsidP="00000000" w:rsidRDefault="00000000" w:rsidRPr="00000000" w14:paraId="0000009C">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1.6 Occupation: </w:t>
      </w:r>
      <w:r w:rsidDel="00000000" w:rsidR="00000000" w:rsidRPr="00000000">
        <w:rPr>
          <w:rFonts w:ascii="Times New Roman" w:cs="Times New Roman" w:eastAsia="Times New Roman" w:hAnsi="Times New Roman"/>
          <w:sz w:val="24"/>
          <w:szCs w:val="24"/>
          <w:highlight w:val="white"/>
          <w:rtl w:val="0"/>
        </w:rPr>
        <w:t xml:space="preserve">What is your occupation?(1=unemployed, 2= service, 3= business, 4= retired, 5=housewife,6= others)</w:t>
      </w:r>
    </w:p>
    <w:p w:rsidR="00000000" w:rsidDel="00000000" w:rsidP="00000000" w:rsidRDefault="00000000" w:rsidRPr="00000000" w14:paraId="0000009D">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1.7 Personal income: </w:t>
      </w:r>
      <w:r w:rsidDel="00000000" w:rsidR="00000000" w:rsidRPr="00000000">
        <w:rPr>
          <w:rFonts w:ascii="Times New Roman" w:cs="Times New Roman" w:eastAsia="Times New Roman" w:hAnsi="Times New Roman"/>
          <w:sz w:val="24"/>
          <w:szCs w:val="24"/>
          <w:highlight w:val="white"/>
          <w:rtl w:val="0"/>
        </w:rPr>
        <w:t xml:space="preserve">What is your personal monthly income? (Monthly in Taka, Enter 00 if none)</w:t>
      </w:r>
    </w:p>
    <w:p w:rsidR="00000000" w:rsidDel="00000000" w:rsidP="00000000" w:rsidRDefault="00000000" w:rsidRPr="00000000" w14:paraId="0000009E">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1.8 How many household members including you live in your house? </w:t>
      </w:r>
      <w:r w:rsidDel="00000000" w:rsidR="00000000" w:rsidRPr="00000000">
        <w:rPr>
          <w:rFonts w:ascii="Times New Roman" w:cs="Times New Roman" w:eastAsia="Times New Roman" w:hAnsi="Times New Roman"/>
          <w:sz w:val="24"/>
          <w:szCs w:val="24"/>
          <w:highlight w:val="white"/>
          <w:rtl w:val="0"/>
        </w:rPr>
        <w:t xml:space="preserve">(living in the same house)</w:t>
      </w:r>
    </w:p>
    <w:p w:rsidR="00000000" w:rsidDel="00000000" w:rsidP="00000000" w:rsidRDefault="00000000" w:rsidRPr="00000000" w14:paraId="0000009F">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1.9 Total family income: </w:t>
      </w:r>
      <w:r w:rsidDel="00000000" w:rsidR="00000000" w:rsidRPr="00000000">
        <w:rPr>
          <w:rFonts w:ascii="Times New Roman" w:cs="Times New Roman" w:eastAsia="Times New Roman" w:hAnsi="Times New Roman"/>
          <w:sz w:val="24"/>
          <w:szCs w:val="24"/>
          <w:highlight w:val="white"/>
          <w:rtl w:val="0"/>
        </w:rPr>
        <w:t xml:space="preserve">(Monthly in taka, Enter 00 if none)</w:t>
      </w:r>
    </w:p>
    <w:p w:rsidR="00000000" w:rsidDel="00000000" w:rsidP="00000000" w:rsidRDefault="00000000" w:rsidRPr="00000000" w14:paraId="000000A0">
      <w:pPr>
        <w:spacing w:line="276"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A1">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Self-Reported Disease or other co-morbidities:</w:t>
      </w:r>
    </w:p>
    <w:p w:rsidR="00000000" w:rsidDel="00000000" w:rsidP="00000000" w:rsidRDefault="00000000" w:rsidRPr="00000000" w14:paraId="000000A2">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 this part, the patients were first asked if have they ever been diagnosed with any of the following conditions. 1=Yes, 2= No, If yes, the age at first diagnosis otherwise leave blank.</w:t>
      </w:r>
    </w:p>
    <w:p w:rsidR="00000000" w:rsidDel="00000000" w:rsidP="00000000" w:rsidRDefault="00000000" w:rsidRPr="00000000" w14:paraId="000000A3">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diseases following from questions 2.1 to 2.11 and they are: Diabetes, hypertension, Other Heart Disease/ stroke, Eye problems, Kidney disease, Neurological disease, Diabetic ulcers/ diabetic foot, Cancer, asthma/ COPD, Bronchitis, Tuberculosis and Others(mention the name).</w:t>
      </w:r>
    </w:p>
    <w:p w:rsidR="00000000" w:rsidDel="00000000" w:rsidP="00000000" w:rsidRDefault="00000000" w:rsidRPr="00000000" w14:paraId="000000A4">
      <w:pPr>
        <w:spacing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A5">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Healthcare Seeking Behaviour of the Population:</w:t>
      </w:r>
    </w:p>
    <w:p w:rsidR="00000000" w:rsidDel="00000000" w:rsidP="00000000" w:rsidRDefault="00000000" w:rsidRPr="00000000" w14:paraId="000000A6">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b w:val="1"/>
          <w:sz w:val="24"/>
          <w:szCs w:val="24"/>
          <w:highlight w:val="white"/>
          <w:rtl w:val="0"/>
        </w:rPr>
        <w:t xml:space="preserve">Where do you usually go for treatment when you feel sick?</w:t>
      </w:r>
      <w:r w:rsidDel="00000000" w:rsidR="00000000" w:rsidRPr="00000000">
        <w:rPr>
          <w:rFonts w:ascii="Times New Roman" w:cs="Times New Roman" w:eastAsia="Times New Roman" w:hAnsi="Times New Roman"/>
          <w:sz w:val="24"/>
          <w:szCs w:val="24"/>
          <w:highlight w:val="white"/>
          <w:rtl w:val="0"/>
        </w:rPr>
        <w:t xml:space="preserve"> (1= MBBS/Registered Doctor, 2=Local Health Center[GO/NGO/Private], 3= Homeo/Ayurvedic/, 4= Village doctor/quacks, 5= Local pharmacy, 6=cannot mention).</w:t>
      </w:r>
    </w:p>
    <w:p w:rsidR="00000000" w:rsidDel="00000000" w:rsidP="00000000" w:rsidRDefault="00000000" w:rsidRPr="00000000" w14:paraId="000000A7">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3.2 In the last one year, how many times have you visited a doctor or health center?</w:t>
      </w:r>
      <w:r w:rsidDel="00000000" w:rsidR="00000000" w:rsidRPr="00000000">
        <w:rPr>
          <w:rFonts w:ascii="Times New Roman" w:cs="Times New Roman" w:eastAsia="Times New Roman" w:hAnsi="Times New Roman"/>
          <w:sz w:val="24"/>
          <w:szCs w:val="24"/>
          <w:highlight w:val="white"/>
          <w:rtl w:val="0"/>
        </w:rPr>
        <w:t xml:space="preserve">(Complete Count in Number)</w:t>
      </w:r>
    </w:p>
    <w:p w:rsidR="00000000" w:rsidDel="00000000" w:rsidP="00000000" w:rsidRDefault="00000000" w:rsidRPr="00000000" w14:paraId="000000A8">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3.3 How far do you have to travel to visit your doctor? </w:t>
      </w:r>
      <w:r w:rsidDel="00000000" w:rsidR="00000000" w:rsidRPr="00000000">
        <w:rPr>
          <w:rFonts w:ascii="Times New Roman" w:cs="Times New Roman" w:eastAsia="Times New Roman" w:hAnsi="Times New Roman"/>
          <w:sz w:val="24"/>
          <w:szCs w:val="24"/>
          <w:highlight w:val="white"/>
          <w:rtl w:val="0"/>
        </w:rPr>
        <w:t xml:space="preserve">(In km)</w:t>
      </w:r>
    </w:p>
    <w:p w:rsidR="00000000" w:rsidDel="00000000" w:rsidP="00000000" w:rsidRDefault="00000000" w:rsidRPr="00000000" w14:paraId="000000A9">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3.4 How much did it cost to travel here? </w:t>
      </w:r>
      <w:r w:rsidDel="00000000" w:rsidR="00000000" w:rsidRPr="00000000">
        <w:rPr>
          <w:rFonts w:ascii="Times New Roman" w:cs="Times New Roman" w:eastAsia="Times New Roman" w:hAnsi="Times New Roman"/>
          <w:sz w:val="24"/>
          <w:szCs w:val="24"/>
          <w:highlight w:val="white"/>
          <w:rtl w:val="0"/>
        </w:rPr>
        <w:t xml:space="preserve">(In taka)</w:t>
      </w:r>
    </w:p>
    <w:p w:rsidR="00000000" w:rsidDel="00000000" w:rsidP="00000000" w:rsidRDefault="00000000" w:rsidRPr="00000000" w14:paraId="000000AA">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3.5 How much money do you spend for paying the doctor? </w:t>
      </w:r>
      <w:r w:rsidDel="00000000" w:rsidR="00000000" w:rsidRPr="00000000">
        <w:rPr>
          <w:rFonts w:ascii="Times New Roman" w:cs="Times New Roman" w:eastAsia="Times New Roman" w:hAnsi="Times New Roman"/>
          <w:sz w:val="24"/>
          <w:szCs w:val="24"/>
          <w:highlight w:val="white"/>
          <w:rtl w:val="0"/>
        </w:rPr>
        <w:t xml:space="preserve">(Consultation fee)</w:t>
      </w:r>
    </w:p>
    <w:p w:rsidR="00000000" w:rsidDel="00000000" w:rsidP="00000000" w:rsidRDefault="00000000" w:rsidRPr="00000000" w14:paraId="000000AB">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3.6 How much money did you spend for different tests in a clinic/ hospital /pharmacy during the last 1 month? </w:t>
      </w:r>
      <w:r w:rsidDel="00000000" w:rsidR="00000000" w:rsidRPr="00000000">
        <w:rPr>
          <w:rFonts w:ascii="Times New Roman" w:cs="Times New Roman" w:eastAsia="Times New Roman" w:hAnsi="Times New Roman"/>
          <w:sz w:val="24"/>
          <w:szCs w:val="24"/>
          <w:highlight w:val="white"/>
          <w:rtl w:val="0"/>
        </w:rPr>
        <w:t xml:space="preserve">(In taka)</w:t>
      </w:r>
    </w:p>
    <w:p w:rsidR="00000000" w:rsidDel="00000000" w:rsidP="00000000" w:rsidRDefault="00000000" w:rsidRPr="00000000" w14:paraId="000000AC">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3.7 How many times did you visit a doctor in last 3 months? </w:t>
      </w:r>
      <w:r w:rsidDel="00000000" w:rsidR="00000000" w:rsidRPr="00000000">
        <w:rPr>
          <w:rFonts w:ascii="Times New Roman" w:cs="Times New Roman" w:eastAsia="Times New Roman" w:hAnsi="Times New Roman"/>
          <w:sz w:val="24"/>
          <w:szCs w:val="24"/>
          <w:highlight w:val="white"/>
          <w:rtl w:val="0"/>
        </w:rPr>
        <w:t xml:space="preserve">(Count in complete numbers)</w:t>
      </w:r>
    </w:p>
    <w:p w:rsidR="00000000" w:rsidDel="00000000" w:rsidP="00000000" w:rsidRDefault="00000000" w:rsidRPr="00000000" w14:paraId="000000AD">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3.8 How much money do you spend to buy your medication? </w:t>
      </w:r>
      <w:r w:rsidDel="00000000" w:rsidR="00000000" w:rsidRPr="00000000">
        <w:rPr>
          <w:rFonts w:ascii="Times New Roman" w:cs="Times New Roman" w:eastAsia="Times New Roman" w:hAnsi="Times New Roman"/>
          <w:sz w:val="24"/>
          <w:szCs w:val="24"/>
          <w:highlight w:val="white"/>
          <w:rtl w:val="0"/>
        </w:rPr>
        <w:t xml:space="preserve">(Taka in one month)</w:t>
      </w:r>
    </w:p>
    <w:p w:rsidR="00000000" w:rsidDel="00000000" w:rsidP="00000000" w:rsidRDefault="00000000" w:rsidRPr="00000000" w14:paraId="000000AE">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3.9 How much money do you spend to buy your hypertension food/drink or materials for your health?  </w:t>
      </w:r>
      <w:r w:rsidDel="00000000" w:rsidR="00000000" w:rsidRPr="00000000">
        <w:rPr>
          <w:rFonts w:ascii="Times New Roman" w:cs="Times New Roman" w:eastAsia="Times New Roman" w:hAnsi="Times New Roman"/>
          <w:sz w:val="24"/>
          <w:szCs w:val="24"/>
          <w:highlight w:val="white"/>
          <w:rtl w:val="0"/>
        </w:rPr>
        <w:t xml:space="preserve">(Taka in one month)</w:t>
      </w:r>
    </w:p>
    <w:p w:rsidR="00000000" w:rsidDel="00000000" w:rsidP="00000000" w:rsidRDefault="00000000" w:rsidRPr="00000000" w14:paraId="000000AF">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3.10 How many days in last year could you not work due to your illness or high blood pressure? </w:t>
      </w:r>
      <w:r w:rsidDel="00000000" w:rsidR="00000000" w:rsidRPr="00000000">
        <w:rPr>
          <w:rFonts w:ascii="Times New Roman" w:cs="Times New Roman" w:eastAsia="Times New Roman" w:hAnsi="Times New Roman"/>
          <w:sz w:val="24"/>
          <w:szCs w:val="24"/>
          <w:highlight w:val="white"/>
          <w:rtl w:val="0"/>
        </w:rPr>
        <w:t xml:space="preserve">(days in last one year)</w:t>
      </w:r>
    </w:p>
    <w:p w:rsidR="00000000" w:rsidDel="00000000" w:rsidP="00000000" w:rsidRDefault="00000000" w:rsidRPr="00000000" w14:paraId="000000B0">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3.11 Did someone else in your family take care of you during the last one year?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1">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3.12 Do you have a blood pressure machine at your home?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2">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3.13 How frequently do you check your blood pressure at home? </w:t>
      </w:r>
      <w:r w:rsidDel="00000000" w:rsidR="00000000" w:rsidRPr="00000000">
        <w:rPr>
          <w:rFonts w:ascii="Times New Roman" w:cs="Times New Roman" w:eastAsia="Times New Roman" w:hAnsi="Times New Roman"/>
          <w:sz w:val="24"/>
          <w:szCs w:val="24"/>
          <w:highlight w:val="white"/>
          <w:rtl w:val="0"/>
        </w:rPr>
        <w:t xml:space="preserve">(1= Several times in a day</w:t>
      </w:r>
    </w:p>
    <w:p w:rsidR="00000000" w:rsidDel="00000000" w:rsidP="00000000" w:rsidRDefault="00000000" w:rsidRPr="00000000" w14:paraId="000000B3">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 Daily, 3= Weekly ,4= Monthly ,5= 2-3 monthly ,6= Yearly, 7= Never)</w:t>
      </w:r>
    </w:p>
    <w:p w:rsidR="00000000" w:rsidDel="00000000" w:rsidP="00000000" w:rsidRDefault="00000000" w:rsidRPr="00000000" w14:paraId="000000B4">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3.14 How much did you spend for your blood pressure test during last 1 month? </w:t>
      </w:r>
      <w:r w:rsidDel="00000000" w:rsidR="00000000" w:rsidRPr="00000000">
        <w:rPr>
          <w:rFonts w:ascii="Times New Roman" w:cs="Times New Roman" w:eastAsia="Times New Roman" w:hAnsi="Times New Roman"/>
          <w:sz w:val="24"/>
          <w:szCs w:val="24"/>
          <w:highlight w:val="white"/>
          <w:rtl w:val="0"/>
        </w:rPr>
        <w:t xml:space="preserve">(Taka in one month)</w:t>
      </w:r>
    </w:p>
    <w:p w:rsidR="00000000" w:rsidDel="00000000" w:rsidP="00000000" w:rsidRDefault="00000000" w:rsidRPr="00000000" w14:paraId="000000B5">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3.15 Who pays for all your medical costs?</w:t>
      </w:r>
      <w:r w:rsidDel="00000000" w:rsidR="00000000" w:rsidRPr="00000000">
        <w:rPr>
          <w:rFonts w:ascii="Times New Roman" w:cs="Times New Roman" w:eastAsia="Times New Roman" w:hAnsi="Times New Roman"/>
          <w:sz w:val="24"/>
          <w:szCs w:val="24"/>
          <w:highlight w:val="white"/>
          <w:rtl w:val="0"/>
        </w:rPr>
        <w:t xml:space="preserve">(1= Self, 2= A relative or friend, 3= Self or private insurance, 4= Government insurance, 5= Employer)</w:t>
      </w:r>
    </w:p>
    <w:p w:rsidR="00000000" w:rsidDel="00000000" w:rsidP="00000000" w:rsidRDefault="00000000" w:rsidRPr="00000000" w14:paraId="000000B6">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3.16 How satisfied are you with your current healthcare experience? </w:t>
      </w:r>
      <w:r w:rsidDel="00000000" w:rsidR="00000000" w:rsidRPr="00000000">
        <w:rPr>
          <w:rFonts w:ascii="Times New Roman" w:cs="Times New Roman" w:eastAsia="Times New Roman" w:hAnsi="Times New Roman"/>
          <w:sz w:val="24"/>
          <w:szCs w:val="24"/>
          <w:highlight w:val="white"/>
          <w:rtl w:val="0"/>
        </w:rPr>
        <w:t xml:space="preserve">(1= Very satisfied ,2= Satisfied ,3= Little satisfied , 4= Dissatisfied, 5= Very dissatisfied)</w:t>
      </w:r>
    </w:p>
    <w:p w:rsidR="00000000" w:rsidDel="00000000" w:rsidP="00000000" w:rsidRDefault="00000000" w:rsidRPr="00000000" w14:paraId="000000B7">
      <w:pPr>
        <w:spacing w:line="276"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8">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Outcome variable: Medication Adherence History and Self Reported mediaction Adherence:</w:t>
      </w:r>
    </w:p>
    <w:p w:rsidR="00000000" w:rsidDel="00000000" w:rsidP="00000000" w:rsidRDefault="00000000" w:rsidRPr="00000000" w14:paraId="000000B9">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4.1 Do you always take your medication at the appropriate time?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A">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4.2 Are you careless at times for taking your medication?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B">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4.3 Do you sometimes stop taking your medication when you feel better?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C">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4.4 Do you sometimes stop taking your medication when you feel bad?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D">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4.5 Have you ever forgotten to take your medication?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BE">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4.6 In the last week, how many times did you fail to take your prescribed dose? </w:t>
      </w:r>
      <w:r w:rsidDel="00000000" w:rsidR="00000000" w:rsidRPr="00000000">
        <w:rPr>
          <w:rFonts w:ascii="Times New Roman" w:cs="Times New Roman" w:eastAsia="Times New Roman" w:hAnsi="Times New Roman"/>
          <w:sz w:val="24"/>
          <w:szCs w:val="24"/>
          <w:highlight w:val="white"/>
          <w:rtl w:val="0"/>
        </w:rPr>
        <w:t xml:space="preserve">( 1= Never</w:t>
      </w:r>
    </w:p>
    <w:p w:rsidR="00000000" w:rsidDel="00000000" w:rsidP="00000000" w:rsidRDefault="00000000" w:rsidRPr="00000000" w14:paraId="000000BF">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2= 1-2 times, 3= 3-5 times, 4= 6-10 times, 5= More than 10 times, 6= cannot say)</w:t>
      </w:r>
    </w:p>
    <w:p w:rsidR="00000000" w:rsidDel="00000000" w:rsidP="00000000" w:rsidRDefault="00000000" w:rsidRPr="00000000" w14:paraId="000000C0">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4.7 How many whole days have gone by in which you did not take your medication since your last visit to the health care?</w:t>
      </w:r>
      <w:r w:rsidDel="00000000" w:rsidR="00000000" w:rsidRPr="00000000">
        <w:rPr>
          <w:rFonts w:ascii="Times New Roman" w:cs="Times New Roman" w:eastAsia="Times New Roman" w:hAnsi="Times New Roman"/>
          <w:sz w:val="24"/>
          <w:szCs w:val="24"/>
          <w:highlight w:val="white"/>
          <w:rtl w:val="0"/>
        </w:rPr>
        <w:t xml:space="preserve"> (days)</w:t>
      </w:r>
    </w:p>
    <w:p w:rsidR="00000000" w:rsidDel="00000000" w:rsidP="00000000" w:rsidRDefault="00000000" w:rsidRPr="00000000" w14:paraId="000000C1">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4.8 Do you know the long term benefits of taking your medicine as told by your doctor? </w:t>
      </w:r>
      <w:r w:rsidDel="00000000" w:rsidR="00000000" w:rsidRPr="00000000">
        <w:rPr>
          <w:rFonts w:ascii="Times New Roman" w:cs="Times New Roman" w:eastAsia="Times New Roman" w:hAnsi="Times New Roman"/>
          <w:sz w:val="24"/>
          <w:szCs w:val="24"/>
          <w:highlight w:val="white"/>
          <w:rtl w:val="0"/>
        </w:rPr>
        <w:t xml:space="preserve">(1=Yes 2=No)</w:t>
      </w:r>
    </w:p>
    <w:p w:rsidR="00000000" w:rsidDel="00000000" w:rsidP="00000000" w:rsidRDefault="00000000" w:rsidRPr="00000000" w14:paraId="000000C2">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4.9 Sometimes do you forget to buy your prescribed medications on time? </w:t>
      </w:r>
      <w:r w:rsidDel="00000000" w:rsidR="00000000" w:rsidRPr="00000000">
        <w:rPr>
          <w:rFonts w:ascii="Times New Roman" w:cs="Times New Roman" w:eastAsia="Times New Roman" w:hAnsi="Times New Roman"/>
          <w:sz w:val="24"/>
          <w:szCs w:val="24"/>
          <w:highlight w:val="white"/>
          <w:rtl w:val="0"/>
        </w:rPr>
        <w:t xml:space="preserve">(1=Yes 2=No)</w:t>
      </w:r>
      <w:r w:rsidDel="00000000" w:rsidR="00000000" w:rsidRPr="00000000">
        <w:rPr>
          <w:rtl w:val="0"/>
        </w:rPr>
      </w:r>
    </w:p>
    <w:p w:rsidR="00000000" w:rsidDel="00000000" w:rsidP="00000000" w:rsidRDefault="00000000" w:rsidRPr="00000000" w14:paraId="000000C3">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Data Collection Technique:</w:t>
      </w:r>
    </w:p>
    <w:p w:rsidR="00000000" w:rsidDel="00000000" w:rsidP="00000000" w:rsidRDefault="00000000" w:rsidRPr="00000000" w14:paraId="000000C4">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Before commencing data collection, the tool was pre-tested among patients  of other hospitals and clinics to understand the problems what could be possible difficulties for the patient to answer each question, how the research assistant ask them personal information for example, their personal income or any other stigmatized disease(tuberculosis, cancer, etc).</w:t>
      </w:r>
    </w:p>
    <w:p w:rsidR="00000000" w:rsidDel="00000000" w:rsidP="00000000" w:rsidRDefault="00000000" w:rsidRPr="00000000" w14:paraId="000000C5">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data collectors were trained with the description of how to conduct the interview, how to maintain the ethical standard of questioning the patients, about obtaining the consent of the patient before starting the interview.</w:t>
      </w:r>
    </w:p>
    <w:p w:rsidR="00000000" w:rsidDel="00000000" w:rsidP="00000000" w:rsidRDefault="00000000" w:rsidRPr="00000000" w14:paraId="000000C6">
      <w:pPr>
        <w:spacing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After the training of the data collectors, they went through under-supervised interviews at first, then progressed to conduct unaccompanied interviews with occasional scrutiny from the principal investigator. </w:t>
      </w:r>
    </w:p>
    <w:p w:rsidR="00000000" w:rsidDel="00000000" w:rsidP="00000000" w:rsidRDefault="00000000" w:rsidRPr="00000000" w14:paraId="000000C7">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 After daily interviews, questionnaires underwent random checks to find any pattern in missing values, non-response trends, or data collection errors. Feedback and necessary instructions will be shared with the data collectors in group meetings before daily data collection. </w:t>
      </w:r>
    </w:p>
    <w:p w:rsidR="00000000" w:rsidDel="00000000" w:rsidP="00000000" w:rsidRDefault="00000000" w:rsidRPr="00000000" w14:paraId="000000C8">
      <w:pPr>
        <w:spacing w:line="276"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Sampling Supervision:</w:t>
      </w:r>
    </w:p>
    <w:p w:rsidR="00000000" w:rsidDel="00000000" w:rsidP="00000000" w:rsidRDefault="00000000" w:rsidRPr="00000000" w14:paraId="000000C9">
      <w:pPr>
        <w:spacing w:line="276"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ab/>
        <w:t xml:space="preserve">A designated data collector was tasked with managing the overall sampling frame and ensuring strict adherence to the sampling technique. This data collector supervised the entire process to maintain its integrity, ensuring that all data collectors consistently followed the established procedures and protocols.</w:t>
      </w:r>
    </w:p>
    <w:p w:rsidR="00000000" w:rsidDel="00000000" w:rsidP="00000000" w:rsidRDefault="00000000" w:rsidRPr="00000000" w14:paraId="000000CA">
      <w:pPr>
        <w:widowControl w:val="0"/>
        <w:spacing w:before="405.696411132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Data Entry and Analysis :</w:t>
      </w:r>
      <w:r w:rsidDel="00000000" w:rsidR="00000000" w:rsidRPr="00000000">
        <w:rPr>
          <w:rtl w:val="0"/>
        </w:rPr>
      </w:r>
    </w:p>
    <w:p w:rsidR="00000000" w:rsidDel="00000000" w:rsidP="00000000" w:rsidRDefault="00000000" w:rsidRPr="00000000" w14:paraId="000000CB">
      <w:pPr>
        <w:widowControl w:val="0"/>
        <w:spacing w:before="405.696411132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IBM SPSS Statistics (version 20) will be used to analyze data and a database will be created by entering the MS Access templates. </w:t>
      </w:r>
    </w:p>
    <w:p w:rsidR="00000000" w:rsidDel="00000000" w:rsidP="00000000" w:rsidRDefault="00000000" w:rsidRPr="00000000" w14:paraId="000000CC">
      <w:pPr>
        <w:widowControl w:val="0"/>
        <w:spacing w:before="27.191467285156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Samples will be used for overall analysis. </w:t>
      </w:r>
    </w:p>
    <w:p w:rsidR="00000000" w:rsidDel="00000000" w:rsidP="00000000" w:rsidRDefault="00000000" w:rsidRPr="00000000" w14:paraId="000000CD">
      <w:pPr>
        <w:widowControl w:val="0"/>
        <w:spacing w:before="124.17678833007812" w:line="276" w:lineRule="auto"/>
        <w:ind w:right="71.3146972656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Univariate analysis will carried out at first to determine frequency distribution and central tendencies (mean, median, standard deviation) across study variables.</w:t>
      </w:r>
    </w:p>
    <w:p w:rsidR="00000000" w:rsidDel="00000000" w:rsidP="00000000" w:rsidRDefault="00000000" w:rsidRPr="00000000" w14:paraId="000000CE">
      <w:pPr>
        <w:widowControl w:val="0"/>
        <w:spacing w:line="276" w:lineRule="auto"/>
        <w:ind w:right="58.2385253906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Variables will be recorded into categorical data from numeric data where required</w:t>
      </w:r>
    </w:p>
    <w:p w:rsidR="00000000" w:rsidDel="00000000" w:rsidP="00000000" w:rsidRDefault="00000000" w:rsidRPr="00000000" w14:paraId="000000CF">
      <w:pPr>
        <w:widowControl w:val="0"/>
        <w:spacing w:line="276" w:lineRule="auto"/>
        <w:ind w:right="58.2385253906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Bi-variate analysis will Carried out by cross-tabulating the outcome variables against variables of interest </w:t>
      </w:r>
    </w:p>
    <w:p w:rsidR="00000000" w:rsidDel="00000000" w:rsidP="00000000" w:rsidRDefault="00000000" w:rsidRPr="00000000" w14:paraId="000000D0">
      <w:pPr>
        <w:widowControl w:val="0"/>
        <w:spacing w:before="27.18994140625" w:line="276" w:lineRule="auto"/>
        <w:ind w:right="72.44628906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Binary logistic regression will carried out to predict outcome variables (low medication adherence)  in terms of selective variables of interest (selection is made during bivariate analysis) Finally, data will be organized, reviewed, and displayed in the form of tables and charts. </w:t>
      </w:r>
    </w:p>
    <w:p w:rsidR="00000000" w:rsidDel="00000000" w:rsidP="00000000" w:rsidRDefault="00000000" w:rsidRPr="00000000" w14:paraId="000000D1">
      <w:pPr>
        <w:widowControl w:val="0"/>
        <w:spacing w:before="27.18994140625" w:line="276" w:lineRule="auto"/>
        <w:ind w:right="72.4462890625"/>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D2">
      <w:pPr>
        <w:widowControl w:val="0"/>
        <w:spacing w:before="27.18994140625" w:line="276" w:lineRule="auto"/>
        <w:ind w:right="72.446289062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Results:</w:t>
      </w:r>
    </w:p>
    <w:p w:rsidR="00000000" w:rsidDel="00000000" w:rsidP="00000000" w:rsidRDefault="00000000" w:rsidRPr="00000000" w14:paraId="000000D3">
      <w:pPr>
        <w:widowControl w:val="0"/>
        <w:spacing w:before="27.18994140625" w:line="276" w:lineRule="auto"/>
        <w:ind w:right="72.4462890625"/>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1: Socio-demographic information of the study population</w:t>
      </w:r>
    </w:p>
    <w:p w:rsidR="00000000" w:rsidDel="00000000" w:rsidP="00000000" w:rsidRDefault="00000000" w:rsidRPr="00000000" w14:paraId="000000D4">
      <w:pPr>
        <w:widowControl w:val="0"/>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outlines the socio-demographic characteristics of the hypertensive patients studied in this paper. These characteristics included their age, gender, marital status, religion, occupation, education level, personal income, and household members. </w:t>
      </w:r>
    </w:p>
    <w:p w:rsidR="00000000" w:rsidDel="00000000" w:rsidP="00000000" w:rsidRDefault="00000000" w:rsidRPr="00000000" w14:paraId="000000D5">
      <w:pPr>
        <w:widowControl w:val="0"/>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age distribution showed that the majority of participants (59.9%) were in the age group of 41-60 years age, with 26.5% falling into the age group of 61-85 years. The 27-40 years age group had the lowest percentage of 13.6%. The mean age of the participants was 53.76 and SD ± 11.769. In terms of gender, women made up a larger percentage of participants (64.6%), while men represented 35.4%  of the sample as a whole. Most participants (77.4%) identified as Muslims while 22.2% belonged to other religious groups. In terms of marital status, 19.1% of participants fell under another marital status category, while the majority (80.9%) were married.</w:t>
      </w:r>
    </w:p>
    <w:p w:rsidR="00000000" w:rsidDel="00000000" w:rsidP="00000000" w:rsidRDefault="00000000" w:rsidRPr="00000000" w14:paraId="000000D6">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educational background represents that 28.0% of the participants had finished primary school, while nearly one-third (30.4%) had no formal education. 10.5% of individuals had pursued higher secondary education, while 16.3% had completed secondary education. Another educational group (technical education) accounted for the remaining 14.4%. The majority of participants (56.4%) were housewives in terms of occupation. A lower percentage were retired (6.2%), in business (6.6%), or serving (12.5%). Furthermore, 10.9% of the individuals did not have a job.</w:t>
      </w:r>
    </w:p>
    <w:p w:rsidR="00000000" w:rsidDel="00000000" w:rsidP="00000000" w:rsidRDefault="00000000" w:rsidRPr="00000000" w14:paraId="000000D7">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terms of personal income, 22.6% of participants said they made between 0 and 20,000 taka, 11.7% between 20,000 and 50,000 taka, and only 3.1% between 50,001 and 120,000 taka. Regarding household size, a somewhat higher percentage (52.9%) had five or more household members, while almost half (45.5%) had one to four household members.</w:t>
      </w:r>
    </w:p>
    <w:p w:rsidR="00000000" w:rsidDel="00000000" w:rsidP="00000000" w:rsidRDefault="00000000" w:rsidRPr="00000000" w14:paraId="000000D8">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D9">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934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50"/>
        <w:gridCol w:w="1620"/>
        <w:gridCol w:w="3150"/>
        <w:gridCol w:w="1725"/>
        <w:tblGridChange w:id="0">
          <w:tblGrid>
            <w:gridCol w:w="2850"/>
            <w:gridCol w:w="1620"/>
            <w:gridCol w:w="3150"/>
            <w:gridCol w:w="1725"/>
          </w:tblGrid>
        </w:tblGridChange>
      </w:tblGrid>
      <w:tr>
        <w:trPr>
          <w:cantSplit w:val="0"/>
          <w:trHeight w:val="594.66064453125" w:hRule="atLeast"/>
          <w:tblHeader w:val="0"/>
        </w:trPr>
        <w:tc>
          <w:tcPr>
            <w:gridSpan w:val="4"/>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0DA">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Socio-demographic information about the study populations</w:t>
            </w:r>
          </w:p>
        </w:tc>
      </w:tr>
      <w:tr>
        <w:trPr>
          <w:cantSplit w:val="0"/>
          <w:trHeight w:val="31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bottom"/>
          </w:tcPr>
          <w:p w:rsidR="00000000" w:rsidDel="00000000" w:rsidP="00000000" w:rsidRDefault="00000000" w:rsidRPr="00000000" w14:paraId="000000DE">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Variable Names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bottom"/>
          </w:tcPr>
          <w:p w:rsidR="00000000" w:rsidDel="00000000" w:rsidP="00000000" w:rsidRDefault="00000000" w:rsidRPr="00000000" w14:paraId="000000DF">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bottom"/>
          </w:tcPr>
          <w:p w:rsidR="00000000" w:rsidDel="00000000" w:rsidP="00000000" w:rsidRDefault="00000000" w:rsidRPr="00000000" w14:paraId="000000E0">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tc>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bottom"/>
          </w:tcPr>
          <w:p w:rsidR="00000000" w:rsidDel="00000000" w:rsidP="00000000" w:rsidRDefault="00000000" w:rsidRPr="00000000" w14:paraId="000000E1">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 value</w:t>
            </w:r>
          </w:p>
        </w:tc>
      </w:tr>
      <w:tr>
        <w:trPr>
          <w:cantSplit w:val="0"/>
          <w:trHeight w:val="300" w:hRule="atLeast"/>
          <w:tblHeader w:val="0"/>
        </w:trPr>
        <w:tc>
          <w:tcPr>
            <w:gridSpan w:val="3"/>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Age of participant                          </w:t>
            </w:r>
            <w:r w:rsidDel="00000000" w:rsidR="00000000" w:rsidRPr="00000000">
              <w:rPr>
                <w:rFonts w:ascii="Times New Roman" w:cs="Times New Roman" w:eastAsia="Times New Roman" w:hAnsi="Times New Roman"/>
                <w:sz w:val="24"/>
                <w:szCs w:val="24"/>
                <w:rtl w:val="0"/>
              </w:rPr>
              <w:t xml:space="preserve">Mean ± SD 53.76 ± 11.76</w:t>
            </w:r>
          </w:p>
          <w:p w:rsidR="00000000" w:rsidDel="00000000" w:rsidP="00000000" w:rsidRDefault="00000000" w:rsidRPr="00000000" w14:paraId="000000E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6">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0.172</w:t>
            </w:r>
          </w:p>
        </w:tc>
      </w:tr>
      <w:tr>
        <w:trPr>
          <w:cantSplit w:val="0"/>
          <w:trHeight w:val="285" w:hRule="atLeast"/>
          <w:tblHeader w:val="0"/>
        </w:trPr>
        <w:tc>
          <w:tcPr>
            <w:gridSpan w:val="3"/>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7">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A">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285" w:hRule="atLeast"/>
          <w:tblHeader w:val="0"/>
        </w:trPr>
        <w:tc>
          <w:tcPr>
            <w:gridSpan w:val="3"/>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B">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E">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EF">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Gender</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0">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1">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2">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3">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0.79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4">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Male</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5">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6">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35.4</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7">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8">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Female</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9">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166</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A">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64.6</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B">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C">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Religion</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D">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0FF">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00">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0.32</w:t>
            </w:r>
            <w:r w:rsidDel="00000000" w:rsidR="00000000" w:rsidRPr="00000000">
              <w:rPr>
                <w:rtl w:val="0"/>
              </w:rPr>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1">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Islam</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199</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77.4</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4">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5">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6">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7">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22.2</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8">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542.37304687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9">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Marital Status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A">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B">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C">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0D">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0.26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Married</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0F">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208</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0">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80.9</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1">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4">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19.1</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5">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6">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Educational level</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7">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8">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9">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1A">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1B">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1C">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0.442</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D">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None</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1F">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30.4</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0">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1">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Primary School</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28.0</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4">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5">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Secondary School</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6">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7">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16.3</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8">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69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9">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Higher Secondary School</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A">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B">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C">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641.059570312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D">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Others (Technical/Diploma)</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2F">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0">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46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1">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Occupation</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4">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35">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6">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7">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8">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0.702</w:t>
            </w:r>
          </w:p>
        </w:tc>
      </w:tr>
      <w:tr>
        <w:trPr>
          <w:cantSplit w:val="0"/>
          <w:trHeight w:val="46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9">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unemployed</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A">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B">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C">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D">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service</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3F">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0">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1">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business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4">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5">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retired</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6">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7">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8">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9">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housewife</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A">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145</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B">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56.4</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C">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D">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4F">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0">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46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1">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Personal Income</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2">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4">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55">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&lt;0.005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6">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0-40000 taka</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7">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8">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22.6</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9">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A">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40001-80000 taka</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B">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C">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D">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E">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80001-120000 taka</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5F">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0">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1">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2">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Household members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3">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4">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vMerge w:val="restart"/>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5">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66">
            <w:pPr>
              <w:widowControl w:val="0"/>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0.931</w:t>
            </w:r>
          </w:p>
        </w:tc>
      </w:tr>
      <w:tr>
        <w:trPr>
          <w:cantSplit w:val="0"/>
          <w:trHeight w:val="46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7">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members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8">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9">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45.5</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A">
            <w:pPr>
              <w:widowControl w:val="0"/>
              <w:spacing w:after="0" w:before="0"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tc>
      </w:tr>
      <w:tr>
        <w:trPr>
          <w:cantSplit w:val="0"/>
          <w:trHeight w:val="223.02978515625" w:hRule="atLeast"/>
          <w:tblHeader w:val="0"/>
        </w:trPr>
        <w:tc>
          <w:tcPr>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B">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&gt;=5 members</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C">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136</w:t>
            </w:r>
          </w:p>
        </w:tc>
        <w:tc>
          <w:tcPr>
            <w:tcBorders>
              <w:top w:color="000000" w:space="0" w:sz="0" w:val="nil"/>
              <w:left w:color="000000" w:space="0" w:sz="0" w:val="nil"/>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D">
            <w:pPr>
              <w:widowControl w:val="0"/>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52.9</w:t>
            </w:r>
          </w:p>
        </w:tc>
        <w:tc>
          <w:tcPr>
            <w:vMerge w:val="continue"/>
            <w:tcBorders>
              <w:top w:color="000000" w:space="0" w:sz="0" w:val="nil"/>
              <w:left w:color="000000" w:space="0" w:sz="4" w:val="single"/>
              <w:bottom w:color="000000" w:space="0" w:sz="4" w:val="single"/>
              <w:right w:color="000000" w:space="0" w:sz="4" w:val="single"/>
            </w:tcBorders>
            <w:shd w:fill="auto" w:val="clear"/>
            <w:tcMar>
              <w:top w:w="0.0" w:type="dxa"/>
              <w:left w:w="100.0" w:type="dxa"/>
              <w:bottom w:w="0.0" w:type="dxa"/>
              <w:right w:w="100.0" w:type="dxa"/>
            </w:tcMar>
            <w:vAlign w:val="top"/>
          </w:tcPr>
          <w:p w:rsidR="00000000" w:rsidDel="00000000" w:rsidP="00000000" w:rsidRDefault="00000000" w:rsidRPr="00000000" w14:paraId="0000016E">
            <w:pPr>
              <w:widowControl w:val="0"/>
              <w:spacing w:after="0" w:before="0" w:line="276" w:lineRule="auto"/>
              <w:ind w:left="0" w:firstLine="0"/>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6F">
      <w:pPr>
        <w:widowControl w:val="0"/>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0">
      <w:pPr>
        <w:widowControl w:val="0"/>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1">
      <w:pPr>
        <w:widowControl w:val="0"/>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2">
      <w:pPr>
        <w:widowControl w:val="0"/>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Prevalence of Medication Adherence:</w:t>
      </w:r>
      <w:r w:rsidDel="00000000" w:rsidR="00000000" w:rsidRPr="00000000">
        <w:rPr>
          <w:rFonts w:ascii="Times New Roman" w:cs="Times New Roman" w:eastAsia="Times New Roman" w:hAnsi="Times New Roman"/>
          <w:sz w:val="24"/>
          <w:szCs w:val="24"/>
          <w:rtl w:val="0"/>
        </w:rPr>
        <w:t xml:space="preserve"> The prevalence of medication adherence is shown in this image as high, medium, and low. It was discovered that 14.4%(n=37) of the population had high medication adherence. 72.8%(n=187) showed medium adherence to medication, and  12.8% showed a low medication adherence rate.</w:t>
      </w:r>
    </w:p>
    <w:p w:rsidR="00000000" w:rsidDel="00000000" w:rsidP="00000000" w:rsidRDefault="00000000" w:rsidRPr="00000000" w14:paraId="00000173">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4">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600075</wp:posOffset>
            </wp:positionH>
            <wp:positionV relativeFrom="paragraph">
              <wp:posOffset>314381</wp:posOffset>
            </wp:positionV>
            <wp:extent cx="4619625" cy="2670574"/>
            <wp:effectExtent b="0" l="0" r="0" t="0"/>
            <wp:wrapSquare wrapText="bothSides" distB="114300" distT="114300" distL="114300" distR="114300"/>
            <wp:docPr id="6"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4619625" cy="2670574"/>
                    </a:xfrm>
                    <a:prstGeom prst="rect"/>
                    <a:ln/>
                  </pic:spPr>
                </pic:pic>
              </a:graphicData>
            </a:graphic>
          </wp:anchor>
        </w:drawing>
      </w:r>
    </w:p>
    <w:p w:rsidR="00000000" w:rsidDel="00000000" w:rsidP="00000000" w:rsidRDefault="00000000" w:rsidRPr="00000000" w14:paraId="00000175">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76">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7">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8">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9">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A">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B">
      <w:pPr>
        <w:widowControl w:val="0"/>
        <w:spacing w:before="405.69580078125" w:lineRule="auto"/>
        <w:jc w:val="both"/>
        <w:rPr>
          <w:rFonts w:ascii="Times New Roman" w:cs="Times New Roman" w:eastAsia="Times New Roman" w:hAnsi="Times New Roman"/>
          <w:b w:val="1"/>
          <w:sz w:val="24"/>
          <w:szCs w:val="24"/>
        </w:rPr>
      </w:pPr>
      <w:r w:rsidDel="00000000" w:rsidR="00000000" w:rsidRPr="00000000">
        <w:rPr>
          <w:rtl w:val="0"/>
        </w:rPr>
      </w:r>
    </w:p>
    <w:tbl>
      <w:tblPr>
        <w:tblStyle w:val="Table2"/>
        <w:tblpPr w:leftFromText="180" w:rightFromText="180" w:topFromText="180" w:bottomFromText="180" w:vertAnchor="text" w:horzAnchor="text" w:tblpX="870" w:tblpY="0"/>
        <w:tblW w:w="7260.0" w:type="dxa"/>
        <w:jc w:val="left"/>
        <w:tblInd w:w="117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260"/>
        <w:tblGridChange w:id="0">
          <w:tblGrid>
            <w:gridCol w:w="7260"/>
          </w:tblGrid>
        </w:tblGridChange>
      </w:tblGrid>
      <w:tr>
        <w:trPr>
          <w:cantSplit w:val="0"/>
          <w:trHeight w:val="480" w:hRule="atLeast"/>
          <w:tblHeader w:val="0"/>
        </w:trPr>
        <w:tc>
          <w:tcPr/>
          <w:p w:rsidR="00000000" w:rsidDel="00000000" w:rsidP="00000000" w:rsidRDefault="00000000" w:rsidRPr="00000000" w14:paraId="0000017C">
            <w:pPr>
              <w:widowControl w:val="0"/>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Figure 1: Prevalence of Medication Adherence of the study population</w:t>
            </w:r>
          </w:p>
        </w:tc>
      </w:tr>
    </w:tbl>
    <w:p w:rsidR="00000000" w:rsidDel="00000000" w:rsidP="00000000" w:rsidRDefault="00000000" w:rsidRPr="00000000" w14:paraId="0000017D">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Prevalence of Medication Adherence by Gender: </w:t>
      </w:r>
      <w:r w:rsidDel="00000000" w:rsidR="00000000" w:rsidRPr="00000000">
        <w:rPr>
          <w:rFonts w:ascii="Times New Roman" w:cs="Times New Roman" w:eastAsia="Times New Roman" w:hAnsi="Times New Roman"/>
          <w:sz w:val="24"/>
          <w:szCs w:val="24"/>
          <w:rtl w:val="0"/>
        </w:rPr>
        <w:t xml:space="preserve">Figure 2 describes medication adherence by gender. According to this research, a greater percentage of women (70%) than men (30%) have low medication adherence. On the other hand, women make up 64% and men 36% of those with medium adherence. With 65% of women showing strong adherence to their medications, compared to only 35% of men, women again outweigh men in the high adherence category</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17E">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anchor allowOverlap="1" behindDoc="0" distB="114300" distT="114300" distL="114300" distR="114300" hidden="0" layoutInCell="1" locked="0" relativeHeight="0" simplePos="0">
            <wp:simplePos x="0" y="0"/>
            <wp:positionH relativeFrom="page">
              <wp:posOffset>1781175</wp:posOffset>
            </wp:positionH>
            <wp:positionV relativeFrom="page">
              <wp:posOffset>6093377</wp:posOffset>
            </wp:positionV>
            <wp:extent cx="3977434" cy="2140986"/>
            <wp:effectExtent b="0" l="0" r="0" t="0"/>
            <wp:wrapSquare wrapText="bothSides" distB="114300" distT="114300" distL="114300" distR="114300"/>
            <wp:docPr id="4"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3977434" cy="2140986"/>
                    </a:xfrm>
                    <a:prstGeom prst="rect"/>
                    <a:ln/>
                  </pic:spPr>
                </pic:pic>
              </a:graphicData>
            </a:graphic>
          </wp:anchor>
        </w:drawing>
      </w:r>
      <w:r w:rsidDel="00000000" w:rsidR="00000000" w:rsidRPr="00000000">
        <w:rPr>
          <w:rtl w:val="0"/>
        </w:rPr>
      </w:r>
    </w:p>
    <w:p w:rsidR="00000000" w:rsidDel="00000000" w:rsidP="00000000" w:rsidRDefault="00000000" w:rsidRPr="00000000" w14:paraId="0000017F">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0">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1">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2">
      <w:pPr>
        <w:widowControl w:val="0"/>
        <w:spacing w:before="405.69580078125" w:line="276"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3">
      <w:pPr>
        <w:spacing w:line="276" w:lineRule="auto"/>
        <w:jc w:val="both"/>
        <w:rPr>
          <w:rFonts w:ascii="Times New Roman" w:cs="Times New Roman" w:eastAsia="Times New Roman" w:hAnsi="Times New Roman"/>
          <w:b w:val="1"/>
          <w:sz w:val="24"/>
          <w:szCs w:val="24"/>
        </w:rPr>
      </w:pPr>
      <w:r w:rsidDel="00000000" w:rsidR="00000000" w:rsidRPr="00000000">
        <w:rPr>
          <w:rtl w:val="0"/>
        </w:rPr>
      </w:r>
    </w:p>
    <w:tbl>
      <w:tblPr>
        <w:tblStyle w:val="Table3"/>
        <w:tblpPr w:leftFromText="180" w:rightFromText="180" w:topFromText="180" w:bottomFromText="180" w:vertAnchor="text" w:horzAnchor="text" w:tblpX="1350" w:tblpY="0"/>
        <w:tblW w:w="6075.0" w:type="dxa"/>
        <w:jc w:val="left"/>
        <w:tblInd w:w="51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075"/>
        <w:tblGridChange w:id="0">
          <w:tblGrid>
            <w:gridCol w:w="6075"/>
          </w:tblGrid>
        </w:tblGridChange>
      </w:tblGrid>
      <w:tr>
        <w:trPr>
          <w:cantSplit w:val="0"/>
          <w:trHeight w:val="353.96484375" w:hRule="atLeast"/>
          <w:tblHeader w:val="0"/>
        </w:trPr>
        <w:tc>
          <w:tcPr/>
          <w:p w:rsidR="00000000" w:rsidDel="00000000" w:rsidP="00000000" w:rsidRDefault="00000000" w:rsidRPr="00000000" w14:paraId="00000184">
            <w:pPr>
              <w:widowControl w:val="0"/>
              <w:spacing w:line="276"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Figure 2: Prevalence of Medication Adherence by Gender</w:t>
            </w:r>
          </w:p>
        </w:tc>
      </w:tr>
    </w:tbl>
    <w:p w:rsidR="00000000" w:rsidDel="00000000" w:rsidP="00000000" w:rsidRDefault="00000000" w:rsidRPr="00000000" w14:paraId="00000185">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6">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Prevalence of Medication Adherence by Education: </w:t>
      </w:r>
      <w:r w:rsidDel="00000000" w:rsidR="00000000" w:rsidRPr="00000000">
        <w:rPr>
          <w:rFonts w:ascii="Times New Roman" w:cs="Times New Roman" w:eastAsia="Times New Roman" w:hAnsi="Times New Roman"/>
          <w:sz w:val="24"/>
          <w:szCs w:val="24"/>
          <w:rtl w:val="0"/>
        </w:rPr>
        <w:t xml:space="preserve">From Figure 3, low medication adherence is most common among people without formal education (42.4%), followed by those with primary and secondary education (21.2%). Conversely, patients with technical education (9.1%) and upper secondary education (6.1%) exhibit the lowest rates of low adherence. Those with no formal education have the largest percentage of medium adherence (29.6%), followed by those with primary education (28.0%) and secondary education (17.2%). In this category, people with technical education (15.1%) and higher secondary education (10.2%) are comparatively under-represented. Those with only primary education have the largest percentage of high adherence (35.1%), followed by those with no education (24.3%). Patients with secondary education have the lowest high adherence (8.1%), whereas those with higher secondary and technical education have equivalent high adherence (16.2%).</w:t>
      </w:r>
      <w:r w:rsidDel="00000000" w:rsidR="00000000" w:rsidRPr="00000000">
        <w:rPr>
          <w:rtl w:val="0"/>
        </w:rPr>
      </w:r>
    </w:p>
    <w:p w:rsidR="00000000" w:rsidDel="00000000" w:rsidP="00000000" w:rsidRDefault="00000000" w:rsidRPr="00000000" w14:paraId="00000187">
      <w:pPr>
        <w:widowControl w:val="0"/>
        <w:spacing w:before="405.69580078125" w:lineRule="auto"/>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552450</wp:posOffset>
            </wp:positionH>
            <wp:positionV relativeFrom="paragraph">
              <wp:posOffset>257175</wp:posOffset>
            </wp:positionV>
            <wp:extent cx="4600155" cy="2775300"/>
            <wp:effectExtent b="0" l="0" r="0" t="0"/>
            <wp:wrapTopAndBottom distB="114300" distT="114300"/>
            <wp:docPr id="2" name="image2.png"/>
            <a:graphic>
              <a:graphicData uri="http://schemas.openxmlformats.org/drawingml/2006/picture">
                <pic:pic>
                  <pic:nvPicPr>
                    <pic:cNvPr id="0" name="image2.png"/>
                    <pic:cNvPicPr preferRelativeResize="0"/>
                  </pic:nvPicPr>
                  <pic:blipFill>
                    <a:blip r:embed="rId11"/>
                    <a:srcRect b="0" l="0" r="0" t="0"/>
                    <a:stretch>
                      <a:fillRect/>
                    </a:stretch>
                  </pic:blipFill>
                  <pic:spPr>
                    <a:xfrm>
                      <a:off x="0" y="0"/>
                      <a:ext cx="4600155" cy="2775300"/>
                    </a:xfrm>
                    <a:prstGeom prst="rect"/>
                    <a:ln/>
                  </pic:spPr>
                </pic:pic>
              </a:graphicData>
            </a:graphic>
          </wp:anchor>
        </w:drawing>
      </w:r>
    </w:p>
    <w:tbl>
      <w:tblPr>
        <w:tblStyle w:val="Table4"/>
        <w:tblpPr w:leftFromText="180" w:rightFromText="180" w:topFromText="180" w:bottomFromText="180" w:vertAnchor="text" w:horzAnchor="text" w:tblpX="1125" w:tblpY="0"/>
        <w:tblW w:w="6720.0" w:type="dxa"/>
        <w:jc w:val="left"/>
        <w:tblInd w:w="6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720"/>
        <w:tblGridChange w:id="0">
          <w:tblGrid>
            <w:gridCol w:w="6720"/>
          </w:tblGrid>
        </w:tblGridChange>
      </w:tblGrid>
      <w:tr>
        <w:trPr>
          <w:cantSplit w:val="0"/>
          <w:trHeight w:val="470.9765625" w:hRule="atLeast"/>
          <w:tblHeader w:val="0"/>
        </w:trPr>
        <w:tc>
          <w:tcPr/>
          <w:p w:rsidR="00000000" w:rsidDel="00000000" w:rsidP="00000000" w:rsidRDefault="00000000" w:rsidRPr="00000000" w14:paraId="00000188">
            <w:pPr>
              <w:widowControl w:val="0"/>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Figure 3: Prevalence of Medication Adherence by Education</w:t>
            </w:r>
          </w:p>
        </w:tc>
      </w:tr>
    </w:tbl>
    <w:p w:rsidR="00000000" w:rsidDel="00000000" w:rsidP="00000000" w:rsidRDefault="00000000" w:rsidRPr="00000000" w14:paraId="00000189">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A">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Medication adherence by income: </w:t>
      </w:r>
      <w:r w:rsidDel="00000000" w:rsidR="00000000" w:rsidRPr="00000000">
        <w:rPr>
          <w:rFonts w:ascii="Times New Roman" w:cs="Times New Roman" w:eastAsia="Times New Roman" w:hAnsi="Times New Roman"/>
          <w:sz w:val="24"/>
          <w:szCs w:val="24"/>
          <w:rtl w:val="0"/>
        </w:rPr>
        <w:t xml:space="preserve">Figure 4 it shows medication adherence levels by personal income of the participants. The study population showed a different range of income, where some don't have any monthly income at all, to some groups earn till 1 lac 20 thousand. In this study, three groups have been made between those who earn 0-40000 taka, 40001- 80000 taka and 80001- 120000 taka across different levels of medication adherence(High, Medium and Low). The majority of the participants are from the low-income group (0-40000 taka) that is 94% of those with high adherence,77% were in medium adherence, and 92% accounted for low adherence. 6% of individuals in the middle income range (40,001–80,000 Taka) exhibit strong adherence, 23% exhibit medium adherence, and none fall into the low adherence category. Remarkably, people in the highest income group (80,001–120,000 Taka) make up 8% of the low adherence group yet are not included in either the high or medium adherence groups. </w:t>
      </w:r>
    </w:p>
    <w:p w:rsidR="00000000" w:rsidDel="00000000" w:rsidP="00000000" w:rsidRDefault="00000000" w:rsidRPr="00000000" w14:paraId="0000018B">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anchor allowOverlap="1" behindDoc="0" distB="114300" distT="114300" distL="114300" distR="114300" hidden="0" layoutInCell="1" locked="0" relativeHeight="0" simplePos="0">
            <wp:simplePos x="0" y="0"/>
            <wp:positionH relativeFrom="page">
              <wp:posOffset>1647825</wp:posOffset>
            </wp:positionH>
            <wp:positionV relativeFrom="page">
              <wp:posOffset>1566876</wp:posOffset>
            </wp:positionV>
            <wp:extent cx="4495679" cy="2695561"/>
            <wp:effectExtent b="0" l="0" r="0" t="0"/>
            <wp:wrapSquare wrapText="bothSides" distB="114300" distT="114300" distL="114300" distR="114300"/>
            <wp:docPr id="7"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4495679" cy="2695561"/>
                    </a:xfrm>
                    <a:prstGeom prst="rect"/>
                    <a:ln/>
                  </pic:spPr>
                </pic:pic>
              </a:graphicData>
            </a:graphic>
          </wp:anchor>
        </w:drawing>
      </w:r>
      <w:r w:rsidDel="00000000" w:rsidR="00000000" w:rsidRPr="00000000">
        <w:rPr>
          <w:rtl w:val="0"/>
        </w:rPr>
      </w:r>
    </w:p>
    <w:p w:rsidR="00000000" w:rsidDel="00000000" w:rsidP="00000000" w:rsidRDefault="00000000" w:rsidRPr="00000000" w14:paraId="0000018C">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D">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E">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F">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0">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1">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tbl>
      <w:tblPr>
        <w:tblStyle w:val="Table5"/>
        <w:tblpPr w:leftFromText="180" w:rightFromText="180" w:topFromText="180" w:bottomFromText="180" w:vertAnchor="text" w:horzAnchor="text" w:tblpX="1365" w:tblpY="0"/>
        <w:tblW w:w="642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20"/>
        <w:tblGridChange w:id="0">
          <w:tblGrid>
            <w:gridCol w:w="6420"/>
          </w:tblGrid>
        </w:tblGridChange>
      </w:tblGrid>
      <w:tr>
        <w:trPr>
          <w:cantSplit w:val="0"/>
          <w:tblHeader w:val="0"/>
        </w:trPr>
        <w:tc>
          <w:tcPr/>
          <w:p w:rsidR="00000000" w:rsidDel="00000000" w:rsidP="00000000" w:rsidRDefault="00000000" w:rsidRPr="00000000" w14:paraId="00000192">
            <w:pPr>
              <w:widowControl w:val="0"/>
              <w:spacing w:line="276"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Figure 4: Prevalence of Medication Adherence by Income</w:t>
            </w:r>
          </w:p>
        </w:tc>
      </w:tr>
    </w:tbl>
    <w:p w:rsidR="00000000" w:rsidDel="00000000" w:rsidP="00000000" w:rsidRDefault="00000000" w:rsidRPr="00000000" w14:paraId="00000193">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Self-Diagnosed Disease: </w:t>
      </w:r>
      <w:r w:rsidDel="00000000" w:rsidR="00000000" w:rsidRPr="00000000">
        <w:rPr>
          <w:rFonts w:ascii="Times New Roman" w:cs="Times New Roman" w:eastAsia="Times New Roman" w:hAnsi="Times New Roman"/>
          <w:sz w:val="24"/>
          <w:szCs w:val="24"/>
          <w:rtl w:val="0"/>
        </w:rPr>
        <w:t xml:space="preserve">Figure 4 describes the self-diagnosed diseases of the study participants. 54.5% of people have diabetes, and 39.3% of people are diagnosed with stroke and heart disease. Furthermore, 66.9% of people have eye problems. People who have kidney diseases are  7.4%. 19.8% of people are diagnosed with different neurological diseases. Among these hypertensive-positive patients, 7.8% have diabetic ulcers/diabetic foot. However, 25.7% of people are diagnosed with asthma/bronchitis. Lastly, only 1.6% of people have been diagnosed with cancer.</w:t>
      </w:r>
    </w:p>
    <w:p w:rsidR="00000000" w:rsidDel="00000000" w:rsidP="00000000" w:rsidRDefault="00000000" w:rsidRPr="00000000" w14:paraId="00000194">
      <w:pPr>
        <w:widowControl w:val="0"/>
        <w:spacing w:before="405.69580078125"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anchor allowOverlap="1" behindDoc="0" distB="114300" distT="114300" distL="114300" distR="114300" hidden="0" layoutInCell="1" locked="0" relativeHeight="0" simplePos="0">
            <wp:simplePos x="0" y="0"/>
            <wp:positionH relativeFrom="page">
              <wp:posOffset>1219200</wp:posOffset>
            </wp:positionH>
            <wp:positionV relativeFrom="page">
              <wp:posOffset>6717023</wp:posOffset>
            </wp:positionV>
            <wp:extent cx="4648200" cy="2481509"/>
            <wp:effectExtent b="0" l="0" r="0" t="0"/>
            <wp:wrapSquare wrapText="bothSides" distB="114300" distT="114300" distL="114300" distR="114300"/>
            <wp:docPr id="3"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4648200" cy="2481509"/>
                    </a:xfrm>
                    <a:prstGeom prst="rect"/>
                    <a:ln/>
                  </pic:spPr>
                </pic:pic>
              </a:graphicData>
            </a:graphic>
          </wp:anchor>
        </w:drawing>
      </w:r>
      <w:r w:rsidDel="00000000" w:rsidR="00000000" w:rsidRPr="00000000">
        <w:rPr>
          <w:rtl w:val="0"/>
        </w:rPr>
      </w:r>
    </w:p>
    <w:p w:rsidR="00000000" w:rsidDel="00000000" w:rsidP="00000000" w:rsidRDefault="00000000" w:rsidRPr="00000000" w14:paraId="00000195">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6">
      <w:pPr>
        <w:widowControl w:val="0"/>
        <w:spacing w:before="405.69580078125"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7">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8">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9">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A">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C">
      <w:pPr>
        <w:spacing w:line="276" w:lineRule="auto"/>
        <w:jc w:val="both"/>
        <w:rPr>
          <w:rFonts w:ascii="Times New Roman" w:cs="Times New Roman" w:eastAsia="Times New Roman" w:hAnsi="Times New Roman"/>
          <w:sz w:val="24"/>
          <w:szCs w:val="24"/>
        </w:rPr>
      </w:pPr>
      <w:r w:rsidDel="00000000" w:rsidR="00000000" w:rsidRPr="00000000">
        <w:rPr>
          <w:rtl w:val="0"/>
        </w:rPr>
      </w:r>
    </w:p>
    <w:tbl>
      <w:tblPr>
        <w:tblStyle w:val="Table6"/>
        <w:tblpPr w:leftFromText="180" w:rightFromText="180" w:topFromText="180" w:bottomFromText="180" w:vertAnchor="text" w:horzAnchor="text" w:tblpX="645" w:tblpY="0"/>
        <w:tblW w:w="739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395"/>
        <w:tblGridChange w:id="0">
          <w:tblGrid>
            <w:gridCol w:w="7395"/>
          </w:tblGrid>
        </w:tblGridChange>
      </w:tblGrid>
      <w:tr>
        <w:trPr>
          <w:cantSplit w:val="0"/>
          <w:tblHeader w:val="0"/>
        </w:trPr>
        <w:tc>
          <w:tcPr/>
          <w:p w:rsidR="00000000" w:rsidDel="00000000" w:rsidP="00000000" w:rsidRDefault="00000000" w:rsidRPr="00000000" w14:paraId="0000019D">
            <w:pPr>
              <w:widowControl w:val="0"/>
              <w:spacing w:line="276" w:lineRule="auto"/>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Figure 5: Percentage of Self-Diagnosed Disease of the study population</w:t>
            </w:r>
          </w:p>
        </w:tc>
      </w:tr>
    </w:tbl>
    <w:p w:rsidR="00000000" w:rsidDel="00000000" w:rsidP="00000000" w:rsidRDefault="00000000" w:rsidRPr="00000000" w14:paraId="0000019E">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F">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1">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Health Seeking Behavior of the Study Population: </w:t>
      </w:r>
      <w:r w:rsidDel="00000000" w:rsidR="00000000" w:rsidRPr="00000000">
        <w:rPr>
          <w:rFonts w:ascii="Times New Roman" w:cs="Times New Roman" w:eastAsia="Times New Roman" w:hAnsi="Times New Roman"/>
          <w:sz w:val="24"/>
          <w:szCs w:val="24"/>
          <w:rtl w:val="0"/>
        </w:rPr>
        <w:t xml:space="preserve">Table 2 provides the information on the health-seeking behaviour, costs, and satisfaction levels of the respondents. Half of the participants showed interest in visiting a registered MBBS doctor when they feel sick or for treatments, while 42.8% visit local healthcare centers operated by the government or NGOs or private clinics. A very small proportion(1.6%) goes for village doctors or quacks, and 6.2% opt for local pharmacies.  Regarding access to healthcare, most people (71.6%) see a doctor 0–10 times a year, while 26.1% see a doctor more than 10 times a year. To see a doctor, the majority of respondents (52.1%) travel within 5 km, whereas 24.5% travel farther. </w:t>
      </w:r>
    </w:p>
    <w:p w:rsidR="00000000" w:rsidDel="00000000" w:rsidP="00000000" w:rsidRDefault="00000000" w:rsidRPr="00000000" w14:paraId="000001A2">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Access to healthcare is greatly impacted by financial factors. While 24.1% spend between 101 and 500 Taka on travel, a huge percentage (72.4%) spend between 0 and 100 Taka. While 85.6% of patients keep clinic test expenses under 500 Taka, the most common doctor consultation price is 5 Taka (76.3%). 90.3% of people see a doctor 0–5 times in a three-month period. The cost of medication is particularly expensive; 65.8% of people spend more than 1000 Taka. Similarly, 58.4% of respondents said that the cost of food and beverages that are suitable for people with hypertension is less than 100 Taka, while 16% said that the cost exceeds 1000 Taka.</w:t>
      </w:r>
    </w:p>
    <w:p w:rsidR="00000000" w:rsidDel="00000000" w:rsidP="00000000" w:rsidRDefault="00000000" w:rsidRPr="00000000" w14:paraId="000001A3">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also shows how high blood pressure-related illnesses affect workers' ability to do their jobs. 84.4% of participants stated that they missed for 0–7 days, and 3.9% missing more than 15 Furthermore, 11.7% do not obtain care when ill, compared to 88.3% who do. Only 28.4% of people own a blood pressure machine, indicating a variety of blood pressure monitoring practices. Only 3.9% of people regularly monitor, whereas 35.8% do so every two to three months. Although cost is still an issue, 94.6% of respondents say they spend less than 100 Taka on each visit. In terms of medical costs, 29.2% pay out of pocket, while 70.4% rely on friends or family.</w:t>
      </w:r>
    </w:p>
    <w:p w:rsidR="00000000" w:rsidDel="00000000" w:rsidP="00000000" w:rsidRDefault="00000000" w:rsidRPr="00000000" w14:paraId="000001A4">
      <w:pPr>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the table, it is shown that the satisfaction level of the respondents with the healthcare service and their health is mixed. 13% are dissatisfied, 21.8% are only marginally satisfied, and 61.9% say they are satisfied, with 3.1% saying they are extremely satisfied. </w:t>
      </w:r>
    </w:p>
    <w:p w:rsidR="00000000" w:rsidDel="00000000" w:rsidP="00000000" w:rsidRDefault="00000000" w:rsidRPr="00000000" w14:paraId="000001A5">
      <w:pPr>
        <w:spacing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6">
      <w:pPr>
        <w:spacing w:line="276" w:lineRule="auto"/>
        <w:jc w:val="both"/>
        <w:rPr>
          <w:rFonts w:ascii="Times New Roman" w:cs="Times New Roman" w:eastAsia="Times New Roman" w:hAnsi="Times New Roman"/>
          <w:sz w:val="24"/>
          <w:szCs w:val="24"/>
        </w:rPr>
      </w:pPr>
      <w:r w:rsidDel="00000000" w:rsidR="00000000" w:rsidRPr="00000000">
        <w:rPr>
          <w:rtl w:val="0"/>
        </w:rPr>
      </w:r>
    </w:p>
    <w:tbl>
      <w:tblPr>
        <w:tblStyle w:val="Table7"/>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 Health Seeking Behavior of the Study Population.</w:t>
            </w:r>
          </w:p>
        </w:tc>
      </w:tr>
    </w:tbl>
    <w:p w:rsidR="00000000" w:rsidDel="00000000" w:rsidP="00000000" w:rsidRDefault="00000000" w:rsidRPr="00000000" w14:paraId="000001A8">
      <w:pPr>
        <w:spacing w:line="276" w:lineRule="auto"/>
        <w:jc w:val="both"/>
        <w:rPr>
          <w:rFonts w:ascii="Times New Roman" w:cs="Times New Roman" w:eastAsia="Times New Roman" w:hAnsi="Times New Roman"/>
          <w:sz w:val="24"/>
          <w:szCs w:val="24"/>
        </w:rPr>
      </w:pPr>
      <w:r w:rsidDel="00000000" w:rsidR="00000000" w:rsidRPr="00000000">
        <w:rPr>
          <w:rtl w:val="0"/>
        </w:rPr>
      </w:r>
    </w:p>
    <w:tbl>
      <w:tblPr>
        <w:tblStyle w:val="Table8"/>
        <w:tblW w:w="936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828.35734870317"/>
        <w:gridCol w:w="1820.7492795389048"/>
        <w:gridCol w:w="2710.8933717579253"/>
        <w:tblGridChange w:id="0">
          <w:tblGrid>
            <w:gridCol w:w="4828.35734870317"/>
            <w:gridCol w:w="1820.7492795389048"/>
            <w:gridCol w:w="2710.8933717579253"/>
          </w:tblGrid>
        </w:tblGridChange>
      </w:tblGrid>
      <w:tr>
        <w:trPr>
          <w:cantSplit w:val="0"/>
          <w:trHeight w:val="51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vAlign w:val="bottom"/>
          </w:tcPr>
          <w:p w:rsidR="00000000" w:rsidDel="00000000" w:rsidP="00000000" w:rsidRDefault="00000000" w:rsidRPr="00000000" w14:paraId="000001A9">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Choice of healthcare provider</w:t>
            </w:r>
          </w:p>
        </w:tc>
        <w:tc>
          <w:tcPr>
            <w:tcBorders>
              <w:top w:color="000000" w:space="0" w:sz="4" w:val="single"/>
              <w:left w:color="000000" w:space="0" w:sz="0" w:val="nil"/>
              <w:bottom w:color="000000" w:space="0" w:sz="4" w:val="single"/>
              <w:right w:color="000000" w:space="0" w:sz="4" w:val="single"/>
            </w:tcBorders>
            <w:tcMar>
              <w:top w:w="0.0" w:type="dxa"/>
              <w:left w:w="100.0" w:type="dxa"/>
              <w:bottom w:w="0.0" w:type="dxa"/>
              <w:right w:w="100.0" w:type="dxa"/>
            </w:tcMar>
            <w:vAlign w:val="bottom"/>
          </w:tcPr>
          <w:p w:rsidR="00000000" w:rsidDel="00000000" w:rsidP="00000000" w:rsidRDefault="00000000" w:rsidRPr="00000000" w14:paraId="000001A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w:t>
            </w:r>
          </w:p>
        </w:tc>
        <w:tc>
          <w:tcPr>
            <w:tcBorders>
              <w:top w:color="000000" w:space="0" w:sz="4" w:val="single"/>
              <w:left w:color="000000" w:space="0" w:sz="0" w:val="nil"/>
              <w:bottom w:color="000000" w:space="0" w:sz="4" w:val="single"/>
              <w:right w:color="000000" w:space="0" w:sz="4" w:val="single"/>
            </w:tcBorders>
            <w:tcMar>
              <w:top w:w="0.0" w:type="dxa"/>
              <w:left w:w="100.0" w:type="dxa"/>
              <w:bottom w:w="0.0" w:type="dxa"/>
              <w:right w:w="100.0" w:type="dxa"/>
            </w:tcMar>
            <w:vAlign w:val="bottom"/>
          </w:tcPr>
          <w:p w:rsidR="00000000" w:rsidDel="00000000" w:rsidP="00000000" w:rsidRDefault="00000000" w:rsidRPr="00000000" w14:paraId="000001A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69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A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MBBS/Registered Physician</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A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126</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A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49.0</w:t>
            </w:r>
          </w:p>
        </w:tc>
      </w:tr>
      <w:tr>
        <w:trPr>
          <w:cantSplit w:val="0"/>
          <w:trHeight w:val="81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A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Local Health Center(GO/NGO/Private)</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42.8</w:t>
            </w:r>
          </w:p>
        </w:tc>
      </w:tr>
      <w:tr>
        <w:trPr>
          <w:cantSplit w:val="0"/>
          <w:trHeight w:val="69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Village doctor/quacks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Local Pharmacy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cannot mention</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49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B">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w:t>
            </w:r>
            <w:r w:rsidDel="00000000" w:rsidR="00000000" w:rsidRPr="00000000">
              <w:rPr>
                <w:rFonts w:ascii="Times New Roman" w:cs="Times New Roman" w:eastAsia="Times New Roman" w:hAnsi="Times New Roman"/>
                <w:b w:val="1"/>
                <w:sz w:val="24"/>
                <w:szCs w:val="24"/>
                <w:rtl w:val="0"/>
              </w:rPr>
              <w:t xml:space="preserve">octor visit in a year</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 times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B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184</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71.6</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10 times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26.1</w:t>
            </w:r>
          </w:p>
        </w:tc>
      </w:tr>
      <w:tr>
        <w:trPr>
          <w:cantSplit w:val="0"/>
          <w:trHeight w:val="49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4">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Travel to visit a doctor</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within 5 km</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52.1</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5 km</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24.5</w:t>
            </w:r>
          </w:p>
        </w:tc>
      </w:tr>
      <w:tr>
        <w:trPr>
          <w:cantSplit w:val="0"/>
          <w:trHeight w:val="49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D">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Travel cost to visit a doctor</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C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186</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72.4</w:t>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101-500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24.1</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501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9">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Doctor fee</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D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196</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76.3</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8">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Clinic test cost</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85.6</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501-1000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E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12.1</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4">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Doctor visit in 3 months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0- 5 times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232</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90.3</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6-20 times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D">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Medication cost</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1F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19.8</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501-1000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169</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65.8</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9">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HTN food Drink cost</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58.4</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0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25.3</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1000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5">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Days could not work due to high blood pressure</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 days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84.4</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8-15 days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15 days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1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1">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Taken care of if ill by a family member?</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227</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88.3</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w:t>
            </w:r>
          </w:p>
        </w:tc>
      </w:tr>
      <w:tr>
        <w:trPr>
          <w:cantSplit w:val="0"/>
          <w:trHeight w:val="49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A">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Blood pressure machine at home?</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2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28.4</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184</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71.6</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3">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Blood pressure check frequency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Daily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Weekly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19.8</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Monthly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33.1</w:t>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3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Monthly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35.8</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Yearly</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Never</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r>
        <w:trPr>
          <w:cantSplit w:val="0"/>
          <w:trHeight w:val="49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8">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Cost for blood pressure checking</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243</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94.6</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 than 100 taka</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4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1">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Who pays all  medical cost</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Self</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29.2</w:t>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relative or a friend</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70.4</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Self or private insurance</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D">
            <w:pPr>
              <w:spacing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Satisfaction level</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5F">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0">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satisfied</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1">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2">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3">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Satisfied</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4">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159</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5">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61.9</w:t>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6">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Little satisfied</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7">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8">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21.8</w:t>
            </w:r>
          </w:p>
        </w:tc>
      </w:tr>
      <w:tr>
        <w:trPr>
          <w:cantSplit w:val="0"/>
          <w:trHeight w:val="450"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9">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Dissatisfied</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A">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B">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w:t>
            </w:r>
          </w:p>
        </w:tc>
      </w:tr>
      <w:tr>
        <w:trPr>
          <w:cantSplit w:val="0"/>
          <w:trHeight w:val="285" w:hRule="atLeast"/>
          <w:tblHeader w:val="0"/>
        </w:trPr>
        <w:tc>
          <w:tcPr>
            <w:tcBorders>
              <w:top w:color="000000" w:space="0" w:sz="0" w:val="nil"/>
              <w:left w:color="000000" w:space="0" w:sz="4" w:val="single"/>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C">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dissatisfied</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D">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0" w:val="nil"/>
              <w:left w:color="000000" w:space="0" w:sz="0" w:val="nil"/>
              <w:bottom w:color="000000" w:space="0" w:sz="4" w:val="single"/>
              <w:right w:color="000000" w:space="0" w:sz="4" w:val="single"/>
            </w:tcBorders>
            <w:tcMar>
              <w:top w:w="0.0" w:type="dxa"/>
              <w:left w:w="100.0" w:type="dxa"/>
              <w:bottom w:w="0.0" w:type="dxa"/>
              <w:right w:w="100.0" w:type="dxa"/>
            </w:tcMar>
            <w:vAlign w:val="top"/>
          </w:tcPr>
          <w:p w:rsidR="00000000" w:rsidDel="00000000" w:rsidP="00000000" w:rsidRDefault="00000000" w:rsidRPr="00000000" w14:paraId="0000026E">
            <w:pPr>
              <w:spacing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bl>
    <w:p w:rsidR="00000000" w:rsidDel="00000000" w:rsidP="00000000" w:rsidRDefault="00000000" w:rsidRPr="00000000" w14:paraId="0000026F">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Discussion: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70">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study prevalence of hypertension medication adherence among the participants was categorized into three levels: high, medium, and low. From this study,14.4% of the hypertensive patients accounted for high adherence, 72.8% demonstrated medium, and only 12.8% had low adherence levels. This pattern indicates a significant number of patients do not take their antihypertensive medications as directed, which may compromise the effectiveness of blood pressure contol. </w:t>
      </w:r>
    </w:p>
    <w:p w:rsidR="00000000" w:rsidDel="00000000" w:rsidP="00000000" w:rsidRDefault="00000000" w:rsidRPr="00000000" w14:paraId="00000271">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meta anlysis involving 27 million patients globally done by (Lee et al., 2022) stated that, although antihypertensive drug failure to adhere was shown to be highly prevalent globally, it was found to be more common in low- to middle-income and non-western nations because of the healthcare facilities, patient’s education and other socio demographic circumstances. According to (Akeroyd, 2015), medication adherence among hypertensive patients has been found low in a systematic meta-analysis that was focused into cardiovascular medication adherence in South Asian population. This study found that only 29.9% of the patients were taking their antihypertensive medicines regularly. The low adherence percentage is also similar to the findings of this paper, and it also stands for regional trends like the similar cultural and socioeconomic factors. Moreover, in Bangladesh, a study done by BMC Public Health on hypertensive patients stated that 14.76% had poor adherence, 77.98% had moderate to poor adherence, and 7.25% accounted for good adherence level (Hossain et al., 2025). These parallel adherence patterns show an ongoing challenge in achieving optimal medication adherence among Bangladeshi hypertensive patients.</w:t>
      </w:r>
    </w:p>
    <w:p w:rsidR="00000000" w:rsidDel="00000000" w:rsidP="00000000" w:rsidRDefault="00000000" w:rsidRPr="00000000" w14:paraId="00000272">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showed notable gender disparities in medication adherence. Women formed 70% of the group with low adherence, 64% of the group with medium adherence, and 65% of the group with high adherence. This implies that women are disproportionately represented in the low adherence category but also in all adherence groups. A similar study by Hossain et al., 2025), has stated that, in northern Bangladesh, women had poor adherence with the percentage of 17.1 compared to men( 12.2%). This is because women are more likely to face challenges in education sector, health literacy, stigmas and cultures of society regarding access to healthcare services. According to (Sarika, 2021), a study conducted in Odisha, India, showed there was a significant association between the medication adherence of the female participants and their level of education and activity. According to the current study, people with high blood pressure do not differ in their adherence to their medicine based on their gender. Males are superior to females when it comes to regular pharmaceutical use. </w:t>
      </w:r>
    </w:p>
    <w:p w:rsidR="00000000" w:rsidDel="00000000" w:rsidP="00000000" w:rsidRDefault="00000000" w:rsidRPr="00000000" w14:paraId="00000273">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Education level plays an important role in patient’s knowledge of their health and adherence to the prescribed medicinies by doctors. This study showed that, those without formal education were most likely to have low medication adherence (42.4%), followed by those with both primary and secondary (21.2%). Conversely, the lowest rates of poor adherence were found among patients with higher secondary education (6.1%) and technical education (9.1%). According to (Abbas et al., 2024), a cross-sectional study conducted in Pakistan showed the patients with had higher educational background are typically better to understand their own condition and the importance of sticking to their daily dose of medication. This implies that improving medication adherence in people with a lower educational background can be a significant landmark in health literacy. Another study in China by (Sun et al., 2016), individuals with only an elementary school education or below were at greater risk of uncontrolled hypertension, possibly due to a lack of understanding about medication importance and lifestyle modifications. This supports the finding that those with no formal education in this study had the highest rates of low adherence.</w:t>
      </w:r>
    </w:p>
    <w:p w:rsidR="00000000" w:rsidDel="00000000" w:rsidP="00000000" w:rsidRDefault="00000000" w:rsidRPr="00000000" w14:paraId="00000274">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Income and medication adherence showed a complex relationship in the study. The existence of low adherence among the highest income group suggests that factors other than income, such as cultural beliefs, health literacy, and access to healthcare facilities, may have a significant impact on adherence behaviours, even though the majority of both high and low adherence groups are from the lowest income group. Moreover, p value (p&lt;0.05) indicates the significance of income and low medication adherence.</w:t>
      </w:r>
    </w:p>
    <w:p w:rsidR="00000000" w:rsidDel="00000000" w:rsidP="00000000" w:rsidRDefault="00000000" w:rsidRPr="00000000" w14:paraId="00000275">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Research in Ethiopia by (Rashid et al.,2024) stated that antihypertensive medication adherence was associated with higher monthly incomes. On the other hand, a systematic review conducted in a developing country, including Bangladesh, showed that, hypertensive patients with low monthly income were more likely to be non-adherent to their medications (Dhar et al., 2017). </w:t>
      </w:r>
    </w:p>
    <w:p w:rsidR="00000000" w:rsidDel="00000000" w:rsidP="00000000" w:rsidRDefault="00000000" w:rsidRPr="00000000" w14:paraId="00000276">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Significant health concerns are revealed by the study's participants' self-reported prevalence of chronic diseases, along with hypertension. In South Asia, non-communicable diseases, include cancer, diabetes, heart disease, and chronic obstructive pulmonary disease, are increasing(Siegel et al., 2014). According to (Felix et al., 2025), participants reported 6.7%  diabetes, 1.3% for coronary heart disease, 1.6% for stroke, 1.3% for asthma, and 1.9% for cancer are the self-reported prevalence rates.</w:t>
      </w:r>
    </w:p>
    <w:p w:rsidR="00000000" w:rsidDel="00000000" w:rsidP="00000000" w:rsidRDefault="00000000" w:rsidRPr="00000000" w14:paraId="00000277">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way people with hypertension seek medical attention is essential to treat and control the adverse effects of it. This study represented that, 49.0% of participants preferred consulting MBBS/Registered Physicians, while 42.8% opted for Local Health Centers (GO/NGO/Private). A smaller fraction sought care from Village Doctors or quacks (1.6%) and Local Pharmacies (6.2%). According to (Mohammad Jahid Hasan et al., 2024), a study in Rangpur found that a significant number of hypertension patients continued to rely on informal providers. However, there were some who preferred a licensed doctor every time they got sick. Most participants (71.6%) said they saw a doctor 0–10 times a year, and 26.1% said they saw a doctor more than 10 times. This frequency suggests a modest level of use of medical services. Regular follow-up appointment adherence is frequently below ideal in South Asia. The effect of routine treatment follow-up appointments on hypertension patients was evaluated in a study carried out in Islamabad, Pakistan (Mahmood et al., 2020). On the other hand, due to improved patient knowledge and healthcare infrastructure, high-income nations report greater rates of doctor visits among hypertension patients. For example, a study by (Zhou et al., 2019), stated that changes in the awareness, treatment, and control of hypertension in 12 high-income nations discovered significant advancements over time, indicating more regular patient use of medical services.</w:t>
      </w:r>
    </w:p>
    <w:p w:rsidR="00000000" w:rsidDel="00000000" w:rsidP="00000000" w:rsidRDefault="00000000" w:rsidRPr="00000000" w14:paraId="00000278">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Relatives or friends paid for a sizable amount (70.4%) of medical expenses, underscoring the need on social networks for financial support. With 61.9% of respondents satisfied and 9.7% dissatisfied, satisfaction ratings were moderate. A study conducted in India by (Chakraborty et al., 2022), Patients those receiving treatment, 91% had significant out-of-pocket costs (OOPs), and 80% selected private institutions. The biggest contributor to these costs was the cost of medication, which was followed by the cost of transportation to public health facilities. The study also showed that those who sought care from non-public facilities and those who had had their illness for a longer period of time were more likely to have larger OOPs(Out of Pocket expenditures). Furthermore, the costs of treating hypertension were higher for those with lower incomes, exposing inequities in the provision of healthcare. </w:t>
      </w:r>
    </w:p>
    <w:p w:rsidR="00000000" w:rsidDel="00000000" w:rsidP="00000000" w:rsidRDefault="00000000" w:rsidRPr="00000000" w14:paraId="00000279">
      <w:pPr>
        <w:spacing w:after="240"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Conclusion: </w:t>
      </w:r>
    </w:p>
    <w:p w:rsidR="00000000" w:rsidDel="00000000" w:rsidP="00000000" w:rsidRDefault="00000000" w:rsidRPr="00000000" w14:paraId="0000027A">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was done in 4 famous government hospitals in Chattogram; 250 bed Chittagong General Hospital, Patiya Upozila Health Complex, Hathazari Upozila Health Comples and Anwara Upozila Health Complex’s NCD corners. In the Non-Communicable Disease (NCD) Corner of Chittagong Medical College, this study looked at the prevalence and determinants of low medication adherence among hypertensive patients. The results showed that a significant percentage of patients had medium adherence to antihypertensive medication, with lower adherence linked to a number of sociodemographic factors, health-seeking behaviours, and self-diagnosed co-morbidities; women were less likely than men to have poor medication adherence, and those with lower educational attainment were more likely to exhibit poor adherence; additionally, financial limitations and accessibility concerns were found to be major obstacles to regular follow-ups and medication adherence.</w:t>
      </w:r>
    </w:p>
    <w:p w:rsidR="00000000" w:rsidDel="00000000" w:rsidP="00000000" w:rsidRDefault="00000000" w:rsidRPr="00000000" w14:paraId="0000027B">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many patients reporting infrequent doctor visits, reliance on neighbourhood pharmacies or health centres rather than licensed doctors, and insufficient blood pressure monitoring at home, the survey also revealed gaps in health-seeking behaviour. Even though there were affordable healthcare options, adherence was decreased by indirect costs like missed workdays and travel. These results are consistent with regional and international research that highlights the substantial influence of barriers associated to the healthcare system, education, and economy on the management of hypertension.</w:t>
      </w:r>
    </w:p>
    <w:p w:rsidR="00000000" w:rsidDel="00000000" w:rsidP="00000000" w:rsidRDefault="00000000" w:rsidRPr="00000000" w14:paraId="0000027C">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Limitations: </w:t>
      </w:r>
      <w:r w:rsidDel="00000000" w:rsidR="00000000" w:rsidRPr="00000000">
        <w:rPr>
          <w:rFonts w:ascii="Times New Roman" w:cs="Times New Roman" w:eastAsia="Times New Roman" w:hAnsi="Times New Roman"/>
          <w:b w:val="1"/>
          <w:color w:val="172b4d"/>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This study had </w:t>
      </w:r>
      <w:r w:rsidDel="00000000" w:rsidR="00000000" w:rsidRPr="00000000">
        <w:rPr>
          <w:rFonts w:ascii="Times New Roman" w:cs="Times New Roman" w:eastAsia="Times New Roman" w:hAnsi="Times New Roman"/>
          <w:sz w:val="24"/>
          <w:szCs w:val="24"/>
          <w:highlight w:val="white"/>
          <w:rtl w:val="0"/>
        </w:rPr>
        <w:t xml:space="preserve">several </w:t>
      </w:r>
      <w:r w:rsidDel="00000000" w:rsidR="00000000" w:rsidRPr="00000000">
        <w:rPr>
          <w:rFonts w:ascii="Times New Roman" w:cs="Times New Roman" w:eastAsia="Times New Roman" w:hAnsi="Times New Roman"/>
          <w:sz w:val="24"/>
          <w:szCs w:val="24"/>
          <w:highlight w:val="white"/>
          <w:rtl w:val="0"/>
        </w:rPr>
        <w:t xml:space="preserve">limitations: logistic regression analysis was not </w:t>
      </w:r>
      <w:r w:rsidDel="00000000" w:rsidR="00000000" w:rsidRPr="00000000">
        <w:rPr>
          <w:rFonts w:ascii="Times New Roman" w:cs="Times New Roman" w:eastAsia="Times New Roman" w:hAnsi="Times New Roman"/>
          <w:sz w:val="24"/>
          <w:szCs w:val="24"/>
          <w:highlight w:val="white"/>
          <w:rtl w:val="0"/>
        </w:rPr>
        <w:t xml:space="preserve">performed, </w:t>
      </w:r>
      <w:r w:rsidDel="00000000" w:rsidR="00000000" w:rsidRPr="00000000">
        <w:rPr>
          <w:rFonts w:ascii="Times New Roman" w:cs="Times New Roman" w:eastAsia="Times New Roman" w:hAnsi="Times New Roman"/>
          <w:sz w:val="24"/>
          <w:szCs w:val="24"/>
          <w:highlight w:val="white"/>
          <w:rtl w:val="0"/>
        </w:rPr>
        <w:t xml:space="preserve">which </w:t>
      </w:r>
      <w:r w:rsidDel="00000000" w:rsidR="00000000" w:rsidRPr="00000000">
        <w:rPr>
          <w:rFonts w:ascii="Times New Roman" w:cs="Times New Roman" w:eastAsia="Times New Roman" w:hAnsi="Times New Roman"/>
          <w:sz w:val="24"/>
          <w:szCs w:val="24"/>
          <w:highlight w:val="white"/>
          <w:rtl w:val="0"/>
        </w:rPr>
        <w:t xml:space="preserve">prevented </w:t>
      </w:r>
      <w:r w:rsidDel="00000000" w:rsidR="00000000" w:rsidRPr="00000000">
        <w:rPr>
          <w:rFonts w:ascii="Times New Roman" w:cs="Times New Roman" w:eastAsia="Times New Roman" w:hAnsi="Times New Roman"/>
          <w:sz w:val="24"/>
          <w:szCs w:val="24"/>
          <w:highlight w:val="white"/>
          <w:rtl w:val="0"/>
        </w:rPr>
        <w:t xml:space="preserve">a </w:t>
      </w:r>
      <w:r w:rsidDel="00000000" w:rsidR="00000000" w:rsidRPr="00000000">
        <w:rPr>
          <w:rFonts w:ascii="Times New Roman" w:cs="Times New Roman" w:eastAsia="Times New Roman" w:hAnsi="Times New Roman"/>
          <w:sz w:val="24"/>
          <w:szCs w:val="24"/>
          <w:highlight w:val="white"/>
          <w:rtl w:val="0"/>
        </w:rPr>
        <w:t xml:space="preserve">thorough examination </w:t>
      </w:r>
      <w:r w:rsidDel="00000000" w:rsidR="00000000" w:rsidRPr="00000000">
        <w:rPr>
          <w:rFonts w:ascii="Times New Roman" w:cs="Times New Roman" w:eastAsia="Times New Roman" w:hAnsi="Times New Roman"/>
          <w:sz w:val="24"/>
          <w:szCs w:val="24"/>
          <w:highlight w:val="white"/>
          <w:rtl w:val="0"/>
        </w:rPr>
        <w:t xml:space="preserve">of the </w:t>
      </w:r>
      <w:r w:rsidDel="00000000" w:rsidR="00000000" w:rsidRPr="00000000">
        <w:rPr>
          <w:rFonts w:ascii="Times New Roman" w:cs="Times New Roman" w:eastAsia="Times New Roman" w:hAnsi="Times New Roman"/>
          <w:sz w:val="24"/>
          <w:szCs w:val="24"/>
          <w:highlight w:val="white"/>
          <w:rtl w:val="0"/>
        </w:rPr>
        <w:t xml:space="preserve">relationships </w:t>
      </w:r>
      <w:r w:rsidDel="00000000" w:rsidR="00000000" w:rsidRPr="00000000">
        <w:rPr>
          <w:rFonts w:ascii="Times New Roman" w:cs="Times New Roman" w:eastAsia="Times New Roman" w:hAnsi="Times New Roman"/>
          <w:sz w:val="24"/>
          <w:szCs w:val="24"/>
          <w:highlight w:val="white"/>
          <w:rtl w:val="0"/>
        </w:rPr>
        <w:t xml:space="preserve">between determinants and adherence levels; </w:t>
      </w:r>
      <w:r w:rsidDel="00000000" w:rsidR="00000000" w:rsidRPr="00000000">
        <w:rPr>
          <w:rFonts w:ascii="Times New Roman" w:cs="Times New Roman" w:eastAsia="Times New Roman" w:hAnsi="Times New Roman"/>
          <w:sz w:val="24"/>
          <w:szCs w:val="24"/>
          <w:highlight w:val="white"/>
          <w:rtl w:val="0"/>
        </w:rPr>
        <w:t xml:space="preserve">no adjustments were made for confounding factors, which </w:t>
      </w:r>
      <w:r w:rsidDel="00000000" w:rsidR="00000000" w:rsidRPr="00000000">
        <w:rPr>
          <w:rFonts w:ascii="Times New Roman" w:cs="Times New Roman" w:eastAsia="Times New Roman" w:hAnsi="Times New Roman"/>
          <w:sz w:val="24"/>
          <w:szCs w:val="24"/>
          <w:highlight w:val="white"/>
          <w:rtl w:val="0"/>
        </w:rPr>
        <w:t xml:space="preserve">could have </w:t>
      </w:r>
      <w:r w:rsidDel="00000000" w:rsidR="00000000" w:rsidRPr="00000000">
        <w:rPr>
          <w:rFonts w:ascii="Times New Roman" w:cs="Times New Roman" w:eastAsia="Times New Roman" w:hAnsi="Times New Roman"/>
          <w:sz w:val="24"/>
          <w:szCs w:val="24"/>
          <w:highlight w:val="white"/>
          <w:rtl w:val="0"/>
        </w:rPr>
        <w:t xml:space="preserve">affected </w:t>
      </w:r>
      <w:r w:rsidDel="00000000" w:rsidR="00000000" w:rsidRPr="00000000">
        <w:rPr>
          <w:rFonts w:ascii="Times New Roman" w:cs="Times New Roman" w:eastAsia="Times New Roman" w:hAnsi="Times New Roman"/>
          <w:sz w:val="24"/>
          <w:szCs w:val="24"/>
          <w:highlight w:val="white"/>
          <w:rtl w:val="0"/>
        </w:rPr>
        <w:t xml:space="preserve">the </w:t>
      </w:r>
      <w:r w:rsidDel="00000000" w:rsidR="00000000" w:rsidRPr="00000000">
        <w:rPr>
          <w:rFonts w:ascii="Times New Roman" w:cs="Times New Roman" w:eastAsia="Times New Roman" w:hAnsi="Times New Roman"/>
          <w:sz w:val="24"/>
          <w:szCs w:val="24"/>
          <w:highlight w:val="white"/>
          <w:rtl w:val="0"/>
        </w:rPr>
        <w:t xml:space="preserve">results; </w:t>
      </w:r>
      <w:r w:rsidDel="00000000" w:rsidR="00000000" w:rsidRPr="00000000">
        <w:rPr>
          <w:rFonts w:ascii="Times New Roman" w:cs="Times New Roman" w:eastAsia="Times New Roman" w:hAnsi="Times New Roman"/>
          <w:sz w:val="24"/>
          <w:szCs w:val="24"/>
          <w:highlight w:val="white"/>
          <w:rtl w:val="0"/>
        </w:rPr>
        <w:t xml:space="preserve">the sample size was insufficient to </w:t>
      </w:r>
      <w:r w:rsidDel="00000000" w:rsidR="00000000" w:rsidRPr="00000000">
        <w:rPr>
          <w:rFonts w:ascii="Times New Roman" w:cs="Times New Roman" w:eastAsia="Times New Roman" w:hAnsi="Times New Roman"/>
          <w:sz w:val="24"/>
          <w:szCs w:val="24"/>
          <w:highlight w:val="white"/>
          <w:rtl w:val="0"/>
        </w:rPr>
        <w:t xml:space="preserve">thoroughly </w:t>
      </w:r>
      <w:r w:rsidDel="00000000" w:rsidR="00000000" w:rsidRPr="00000000">
        <w:rPr>
          <w:rFonts w:ascii="Times New Roman" w:cs="Times New Roman" w:eastAsia="Times New Roman" w:hAnsi="Times New Roman"/>
          <w:sz w:val="24"/>
          <w:szCs w:val="24"/>
          <w:highlight w:val="white"/>
          <w:rtl w:val="0"/>
        </w:rPr>
        <w:t xml:space="preserve">assess the factors influencing medication adherence and the study was </w:t>
      </w:r>
      <w:r w:rsidDel="00000000" w:rsidR="00000000" w:rsidRPr="00000000">
        <w:rPr>
          <w:rFonts w:ascii="Times New Roman" w:cs="Times New Roman" w:eastAsia="Times New Roman" w:hAnsi="Times New Roman"/>
          <w:sz w:val="24"/>
          <w:szCs w:val="24"/>
          <w:highlight w:val="white"/>
          <w:rtl w:val="0"/>
        </w:rPr>
        <w:t xml:space="preserve">unable </w:t>
      </w:r>
      <w:r w:rsidDel="00000000" w:rsidR="00000000" w:rsidRPr="00000000">
        <w:rPr>
          <w:rFonts w:ascii="Times New Roman" w:cs="Times New Roman" w:eastAsia="Times New Roman" w:hAnsi="Times New Roman"/>
          <w:sz w:val="24"/>
          <w:szCs w:val="24"/>
          <w:highlight w:val="white"/>
          <w:rtl w:val="0"/>
        </w:rPr>
        <w:t xml:space="preserve">to cover multiple NCD corners across Bangladesh due to financial, time, and accessibility constraints, </w:t>
      </w:r>
      <w:r w:rsidDel="00000000" w:rsidR="00000000" w:rsidRPr="00000000">
        <w:rPr>
          <w:rFonts w:ascii="Times New Roman" w:cs="Times New Roman" w:eastAsia="Times New Roman" w:hAnsi="Times New Roman"/>
          <w:sz w:val="24"/>
          <w:szCs w:val="24"/>
          <w:highlight w:val="white"/>
          <w:rtl w:val="0"/>
        </w:rPr>
        <w:t xml:space="preserve">which </w:t>
      </w:r>
      <w:r w:rsidDel="00000000" w:rsidR="00000000" w:rsidRPr="00000000">
        <w:rPr>
          <w:rFonts w:ascii="Times New Roman" w:cs="Times New Roman" w:eastAsia="Times New Roman" w:hAnsi="Times New Roman"/>
          <w:sz w:val="24"/>
          <w:szCs w:val="24"/>
          <w:highlight w:val="white"/>
          <w:rtl w:val="0"/>
        </w:rPr>
        <w:t xml:space="preserve">limited </w:t>
      </w:r>
      <w:r w:rsidDel="00000000" w:rsidR="00000000" w:rsidRPr="00000000">
        <w:rPr>
          <w:rFonts w:ascii="Times New Roman" w:cs="Times New Roman" w:eastAsia="Times New Roman" w:hAnsi="Times New Roman"/>
          <w:sz w:val="24"/>
          <w:szCs w:val="24"/>
          <w:highlight w:val="white"/>
          <w:rtl w:val="0"/>
        </w:rPr>
        <w:t xml:space="preserve">its </w:t>
      </w:r>
      <w:r w:rsidDel="00000000" w:rsidR="00000000" w:rsidRPr="00000000">
        <w:rPr>
          <w:rFonts w:ascii="Times New Roman" w:cs="Times New Roman" w:eastAsia="Times New Roman" w:hAnsi="Times New Roman"/>
          <w:sz w:val="24"/>
          <w:szCs w:val="24"/>
          <w:highlight w:val="white"/>
          <w:rtl w:val="0"/>
        </w:rPr>
        <w:t xml:space="preserve">generalisability.</w:t>
      </w:r>
      <w:r w:rsidDel="00000000" w:rsidR="00000000" w:rsidRPr="00000000">
        <w:rPr>
          <w:rtl w:val="0"/>
        </w:rPr>
      </w:r>
    </w:p>
    <w:p w:rsidR="00000000" w:rsidDel="00000000" w:rsidP="00000000" w:rsidRDefault="00000000" w:rsidRPr="00000000" w14:paraId="0000027D">
      <w:pPr>
        <w:spacing w:after="240" w:before="240" w:line="276"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Recommendations: </w:t>
      </w:r>
    </w:p>
    <w:p w:rsidR="00000000" w:rsidDel="00000000" w:rsidP="00000000" w:rsidRDefault="00000000" w:rsidRPr="00000000" w14:paraId="0000027E">
      <w:pPr>
        <w:spacing w:after="240" w:before="24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Future research should involve a bigger, more diversified population from various NCD areas across Bangladesh to provide a more thorough understanding of adherence trends and increase medication adherence while addressing the limitations of this study. Public health interventions, including community-based awareness programs, improved accessibility to hypertension clinics, and digital health solutions such as mobile reminders, should be implemented to enhance medication adherence. Accessibility to healthcare services can be improved by subsidizing travel costs, expanding telemedicine services, and increasing the number of NCD corners in underserved areas. Additionally, the promotion of home-based blood pressure monitoring can encourage patients to manage their condition more effectively. Lastly, further research should explore the socioeconomic determinants of adherence, with a particular focus on gender disparities, financial constraints, and healthcare affordability. Addressing these areas through policy reforms and targeted interventions will contribute to better hypertension management and a reduction in the cardiovascular disease burden in Bangladesh.</w:t>
      </w:r>
    </w:p>
    <w:p w:rsidR="00000000" w:rsidDel="00000000" w:rsidP="00000000" w:rsidRDefault="00000000" w:rsidRPr="00000000" w14:paraId="0000027F">
      <w:pPr>
        <w:spacing w:after="240" w:before="240" w:line="276" w:lineRule="auto"/>
        <w:jc w:val="both"/>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References:</w:t>
      </w:r>
    </w:p>
    <w:p w:rsidR="00000000" w:rsidDel="00000000" w:rsidP="00000000" w:rsidRDefault="00000000" w:rsidRPr="00000000" w14:paraId="00000280">
      <w:pPr>
        <w:spacing w:line="276" w:lineRule="auto"/>
        <w:ind w:left="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Abbas, S., Noor, M., Masood, A. J., Ahmed, E., Shakeel, A., Ali, M. S., Rizwan, U., &amp; Kamran, S. (2024). Analysis of medication adherence of chronic hypertensive patients in Pakistani community via open survey method. </w:t>
      </w:r>
      <w:r w:rsidDel="00000000" w:rsidR="00000000" w:rsidRPr="00000000">
        <w:rPr>
          <w:rFonts w:ascii="Times New Roman" w:cs="Times New Roman" w:eastAsia="Times New Roman" w:hAnsi="Times New Roman"/>
          <w:i w:val="1"/>
          <w:sz w:val="24"/>
          <w:szCs w:val="24"/>
          <w:rtl w:val="0"/>
        </w:rPr>
        <w:t xml:space="preserve">Exploration of Medicine</w:t>
      </w:r>
      <w:r w:rsidDel="00000000" w:rsidR="00000000" w:rsidRPr="00000000">
        <w:rPr>
          <w:rFonts w:ascii="Times New Roman" w:cs="Times New Roman" w:eastAsia="Times New Roman" w:hAnsi="Times New Roman"/>
          <w:sz w:val="24"/>
          <w:szCs w:val="24"/>
          <w:rtl w:val="0"/>
        </w:rPr>
        <w:t xml:space="preserve">, 674–683. </w:t>
      </w:r>
      <w:hyperlink r:id="rId14">
        <w:r w:rsidDel="00000000" w:rsidR="00000000" w:rsidRPr="00000000">
          <w:rPr>
            <w:rFonts w:ascii="Times New Roman" w:cs="Times New Roman" w:eastAsia="Times New Roman" w:hAnsi="Times New Roman"/>
            <w:color w:val="1155cc"/>
            <w:sz w:val="24"/>
            <w:szCs w:val="24"/>
            <w:u w:val="single"/>
            <w:rtl w:val="0"/>
          </w:rPr>
          <w:t xml:space="preserve">https://doi.org/10.37349/emed.2024.00248</w:t>
        </w:r>
      </w:hyperlink>
      <w:r w:rsidDel="00000000" w:rsidR="00000000" w:rsidRPr="00000000">
        <w:rPr>
          <w:rtl w:val="0"/>
        </w:rPr>
      </w:r>
    </w:p>
    <w:p w:rsidR="00000000" w:rsidDel="00000000" w:rsidP="00000000" w:rsidRDefault="00000000" w:rsidRPr="00000000" w14:paraId="00000281">
      <w:pPr>
        <w:spacing w:line="276" w:lineRule="auto"/>
        <w:ind w:left="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2">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Akeroyd, J. M. (2015). Adherence to cardiovascular medications in the South Asian population: A systematic review of current evidence and future directions. </w:t>
      </w:r>
      <w:r w:rsidDel="00000000" w:rsidR="00000000" w:rsidRPr="00000000">
        <w:rPr>
          <w:rFonts w:ascii="Times New Roman" w:cs="Times New Roman" w:eastAsia="Times New Roman" w:hAnsi="Times New Roman"/>
          <w:i w:val="1"/>
          <w:sz w:val="24"/>
          <w:szCs w:val="24"/>
          <w:rtl w:val="0"/>
        </w:rPr>
        <w:t xml:space="preserve">World Journal of Cardiology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7</w:t>
      </w:r>
      <w:r w:rsidDel="00000000" w:rsidR="00000000" w:rsidRPr="00000000">
        <w:rPr>
          <w:rFonts w:ascii="Times New Roman" w:cs="Times New Roman" w:eastAsia="Times New Roman" w:hAnsi="Times New Roman"/>
          <w:sz w:val="24"/>
          <w:szCs w:val="24"/>
          <w:rtl w:val="0"/>
        </w:rPr>
        <w:t xml:space="preserve">(12), 938. </w:t>
      </w:r>
      <w:hyperlink r:id="rId15">
        <w:r w:rsidDel="00000000" w:rsidR="00000000" w:rsidRPr="00000000">
          <w:rPr>
            <w:rFonts w:ascii="Times New Roman" w:cs="Times New Roman" w:eastAsia="Times New Roman" w:hAnsi="Times New Roman"/>
            <w:color w:val="1155cc"/>
            <w:sz w:val="24"/>
            <w:szCs w:val="24"/>
            <w:u w:val="single"/>
            <w:rtl w:val="0"/>
          </w:rPr>
          <w:t xml:space="preserve">https://doi.org/10.4330/wjc.v7.i12.938</w:t>
        </w:r>
      </w:hyperlink>
      <w:r w:rsidDel="00000000" w:rsidR="00000000" w:rsidRPr="00000000">
        <w:rPr>
          <w:rtl w:val="0"/>
        </w:rPr>
      </w:r>
    </w:p>
    <w:p w:rsidR="00000000" w:rsidDel="00000000" w:rsidP="00000000" w:rsidRDefault="00000000" w:rsidRPr="00000000" w14:paraId="00000283">
      <w:pPr>
        <w:spacing w:line="276"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4">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[3]American College of Cardiology. (2017, November 13). </w:t>
      </w:r>
      <w:r w:rsidDel="00000000" w:rsidR="00000000" w:rsidRPr="00000000">
        <w:rPr>
          <w:rFonts w:ascii="Times New Roman" w:cs="Times New Roman" w:eastAsia="Times New Roman" w:hAnsi="Times New Roman"/>
          <w:i w:val="1"/>
          <w:sz w:val="24"/>
          <w:szCs w:val="24"/>
          <w:rtl w:val="0"/>
        </w:rPr>
        <w:t xml:space="preserve">New ACC/AHA High Blood Pressure Guidelines Lower Definition of Hypertension - American College of Cardiology</w:t>
      </w:r>
      <w:r w:rsidDel="00000000" w:rsidR="00000000" w:rsidRPr="00000000">
        <w:rPr>
          <w:rFonts w:ascii="Times New Roman" w:cs="Times New Roman" w:eastAsia="Times New Roman" w:hAnsi="Times New Roman"/>
          <w:sz w:val="24"/>
          <w:szCs w:val="24"/>
          <w:rtl w:val="0"/>
        </w:rPr>
        <w:t xml:space="preserve">. American College of Cardiology.</w:t>
      </w:r>
      <w:hyperlink r:id="rId16">
        <w:r w:rsidDel="00000000" w:rsidR="00000000" w:rsidRPr="00000000">
          <w:rPr>
            <w:rFonts w:ascii="Times New Roman" w:cs="Times New Roman" w:eastAsia="Times New Roman" w:hAnsi="Times New Roman"/>
            <w:color w:val="1155cc"/>
            <w:sz w:val="24"/>
            <w:szCs w:val="24"/>
            <w:u w:val="single"/>
            <w:rtl w:val="0"/>
          </w:rPr>
          <w:t xml:space="preserve">https://www.acc.org/latest-in-cardiology/articles/2017/11/08/11/47/mon-5pm-bp-guideline-aha-2017</w:t>
        </w:r>
      </w:hyperlink>
      <w:r w:rsidDel="00000000" w:rsidR="00000000" w:rsidRPr="00000000">
        <w:rPr>
          <w:rtl w:val="0"/>
        </w:rPr>
      </w:r>
    </w:p>
    <w:p w:rsidR="00000000" w:rsidDel="00000000" w:rsidP="00000000" w:rsidRDefault="00000000" w:rsidRPr="00000000" w14:paraId="00000285">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Burnier, M., &amp; Egan, B. M. (2019). Adherence in Hypertension. </w:t>
      </w:r>
      <w:r w:rsidDel="00000000" w:rsidR="00000000" w:rsidRPr="00000000">
        <w:rPr>
          <w:rFonts w:ascii="Times New Roman" w:cs="Times New Roman" w:eastAsia="Times New Roman" w:hAnsi="Times New Roman"/>
          <w:i w:val="1"/>
          <w:sz w:val="24"/>
          <w:szCs w:val="24"/>
          <w:rtl w:val="0"/>
        </w:rPr>
        <w:t xml:space="preserve">Circulation Research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124</w:t>
      </w:r>
      <w:r w:rsidDel="00000000" w:rsidR="00000000" w:rsidRPr="00000000">
        <w:rPr>
          <w:rFonts w:ascii="Times New Roman" w:cs="Times New Roman" w:eastAsia="Times New Roman" w:hAnsi="Times New Roman"/>
          <w:sz w:val="24"/>
          <w:szCs w:val="24"/>
          <w:rtl w:val="0"/>
        </w:rPr>
        <w:t xml:space="preserve">(7), 1124–1140. </w:t>
      </w:r>
      <w:hyperlink r:id="rId17">
        <w:r w:rsidDel="00000000" w:rsidR="00000000" w:rsidRPr="00000000">
          <w:rPr>
            <w:rFonts w:ascii="Times New Roman" w:cs="Times New Roman" w:eastAsia="Times New Roman" w:hAnsi="Times New Roman"/>
            <w:color w:val="1155cc"/>
            <w:sz w:val="24"/>
            <w:szCs w:val="24"/>
            <w:u w:val="single"/>
            <w:rtl w:val="0"/>
          </w:rPr>
          <w:t xml:space="preserve">https://doi.org/10.1161/circresaha.118.313220</w:t>
        </w:r>
      </w:hyperlink>
      <w:r w:rsidDel="00000000" w:rsidR="00000000" w:rsidRPr="00000000">
        <w:rPr>
          <w:rtl w:val="0"/>
        </w:rPr>
      </w:r>
    </w:p>
    <w:p w:rsidR="00000000" w:rsidDel="00000000" w:rsidP="00000000" w:rsidRDefault="00000000" w:rsidRPr="00000000" w14:paraId="00000286">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[5]Carvalho, A. S., &amp; Santos, P. (2019). Medication Adherence In Patients With Arterial Hypertension: The Relationship With Healthcare Systems’ Organizational Factors. </w:t>
      </w:r>
      <w:r w:rsidDel="00000000" w:rsidR="00000000" w:rsidRPr="00000000">
        <w:rPr>
          <w:rFonts w:ascii="Times New Roman" w:cs="Times New Roman" w:eastAsia="Times New Roman" w:hAnsi="Times New Roman"/>
          <w:i w:val="1"/>
          <w:sz w:val="24"/>
          <w:szCs w:val="24"/>
          <w:rtl w:val="0"/>
        </w:rPr>
        <w:t xml:space="preserve">Patient Preference and Adherence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Volume 13</w:t>
      </w:r>
      <w:r w:rsidDel="00000000" w:rsidR="00000000" w:rsidRPr="00000000">
        <w:rPr>
          <w:rFonts w:ascii="Times New Roman" w:cs="Times New Roman" w:eastAsia="Times New Roman" w:hAnsi="Times New Roman"/>
          <w:sz w:val="24"/>
          <w:szCs w:val="24"/>
          <w:rtl w:val="0"/>
        </w:rPr>
        <w:t xml:space="preserve">, 1761–1774. </w:t>
      </w:r>
      <w:hyperlink r:id="rId18">
        <w:r w:rsidDel="00000000" w:rsidR="00000000" w:rsidRPr="00000000">
          <w:rPr>
            <w:rFonts w:ascii="Times New Roman" w:cs="Times New Roman" w:eastAsia="Times New Roman" w:hAnsi="Times New Roman"/>
            <w:color w:val="1155cc"/>
            <w:sz w:val="24"/>
            <w:szCs w:val="24"/>
            <w:u w:val="single"/>
            <w:rtl w:val="0"/>
          </w:rPr>
          <w:t xml:space="preserve">https://doi.org/10.2147/ppa.s216091</w:t>
        </w:r>
      </w:hyperlink>
      <w:r w:rsidDel="00000000" w:rsidR="00000000" w:rsidRPr="00000000">
        <w:rPr>
          <w:rtl w:val="0"/>
        </w:rPr>
      </w:r>
    </w:p>
    <w:p w:rsidR="00000000" w:rsidDel="00000000" w:rsidP="00000000" w:rsidRDefault="00000000" w:rsidRPr="00000000" w14:paraId="00000287">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[6]Chakraborty, S., Rai, R. K., Biswas, A. K., Barik, A., Gurung, P., &amp; Praveen, D. (2022). Health care seeking behaviour and financial protection of patients with hypertension: A cross-sectional study in rural West Bengal, India. </w:t>
      </w:r>
      <w:r w:rsidDel="00000000" w:rsidR="00000000" w:rsidRPr="00000000">
        <w:rPr>
          <w:rFonts w:ascii="Times New Roman" w:cs="Times New Roman" w:eastAsia="Times New Roman" w:hAnsi="Times New Roman"/>
          <w:i w:val="1"/>
          <w:sz w:val="24"/>
          <w:szCs w:val="24"/>
          <w:rtl w:val="0"/>
        </w:rPr>
        <w:t xml:space="preserve">PloS One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17</w:t>
      </w:r>
      <w:r w:rsidDel="00000000" w:rsidR="00000000" w:rsidRPr="00000000">
        <w:rPr>
          <w:rFonts w:ascii="Times New Roman" w:cs="Times New Roman" w:eastAsia="Times New Roman" w:hAnsi="Times New Roman"/>
          <w:sz w:val="24"/>
          <w:szCs w:val="24"/>
          <w:rtl w:val="0"/>
        </w:rPr>
        <w:t xml:space="preserve">(2), e0264314. </w:t>
      </w:r>
      <w:hyperlink r:id="rId19">
        <w:r w:rsidDel="00000000" w:rsidR="00000000" w:rsidRPr="00000000">
          <w:rPr>
            <w:rFonts w:ascii="Times New Roman" w:cs="Times New Roman" w:eastAsia="Times New Roman" w:hAnsi="Times New Roman"/>
            <w:color w:val="1155cc"/>
            <w:sz w:val="24"/>
            <w:szCs w:val="24"/>
            <w:u w:val="single"/>
            <w:rtl w:val="0"/>
          </w:rPr>
          <w:t xml:space="preserve">https://doi.org/10.1371/journal.pone.0264314</w:t>
        </w:r>
      </w:hyperlink>
      <w:r w:rsidDel="00000000" w:rsidR="00000000" w:rsidRPr="00000000">
        <w:rPr>
          <w:rtl w:val="0"/>
        </w:rPr>
      </w:r>
    </w:p>
    <w:p w:rsidR="00000000" w:rsidDel="00000000" w:rsidP="00000000" w:rsidRDefault="00000000" w:rsidRPr="00000000" w14:paraId="00000288">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Chen, Y., Araghi, M., Piotr Bandosz, Shipley, M. J., Ahmadi-Abhari, S., Lobanov-Rostovsky, S., Venkatraman, T., Kivimäki, M., O’Flaherty, M., &amp; Brunner, E. J. (2023). Impact of hypertension prevalence trend on mortality and burdens of dementia and disability in England and Wales to 2060: a simulation modelling study. </w:t>
      </w:r>
      <w:r w:rsidDel="00000000" w:rsidR="00000000" w:rsidRPr="00000000">
        <w:rPr>
          <w:rFonts w:ascii="Times New Roman" w:cs="Times New Roman" w:eastAsia="Times New Roman" w:hAnsi="Times New Roman"/>
          <w:i w:val="1"/>
          <w:sz w:val="24"/>
          <w:szCs w:val="24"/>
          <w:rtl w:val="0"/>
        </w:rPr>
        <w:t xml:space="preserve">The Lancet Healthy Longevity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w:t>
      </w:r>
      <w:r w:rsidDel="00000000" w:rsidR="00000000" w:rsidRPr="00000000">
        <w:rPr>
          <w:rFonts w:ascii="Times New Roman" w:cs="Times New Roman" w:eastAsia="Times New Roman" w:hAnsi="Times New Roman"/>
          <w:sz w:val="24"/>
          <w:szCs w:val="24"/>
          <w:rtl w:val="0"/>
        </w:rPr>
        <w:t xml:space="preserve">(9), e470–e477. </w:t>
      </w:r>
      <w:hyperlink r:id="rId20">
        <w:r w:rsidDel="00000000" w:rsidR="00000000" w:rsidRPr="00000000">
          <w:rPr>
            <w:rFonts w:ascii="Times New Roman" w:cs="Times New Roman" w:eastAsia="Times New Roman" w:hAnsi="Times New Roman"/>
            <w:color w:val="1155cc"/>
            <w:sz w:val="24"/>
            <w:szCs w:val="24"/>
            <w:u w:val="single"/>
            <w:rtl w:val="0"/>
          </w:rPr>
          <w:t xml:space="preserve">https://doi.org/10.1016/s2666-7568(23)00129-0</w:t>
        </w:r>
      </w:hyperlink>
      <w:r w:rsidDel="00000000" w:rsidR="00000000" w:rsidRPr="00000000">
        <w:rPr>
          <w:rtl w:val="0"/>
        </w:rPr>
      </w:r>
    </w:p>
    <w:p w:rsidR="00000000" w:rsidDel="00000000" w:rsidP="00000000" w:rsidRDefault="00000000" w:rsidRPr="00000000" w14:paraId="00000289">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Chowdhury, M. Z. I., Rahman, M., Akter, T., Akhter, T., Ahmed, A., Shovon, M. A., Farhana, Z., Chowdhury, N., &amp; Turin, T. C. (2020). Hypertension prevalence and its trend in Bangladesh: evidence from a systematic review and meta-analysis. </w:t>
      </w:r>
      <w:r w:rsidDel="00000000" w:rsidR="00000000" w:rsidRPr="00000000">
        <w:rPr>
          <w:rFonts w:ascii="Times New Roman" w:cs="Times New Roman" w:eastAsia="Times New Roman" w:hAnsi="Times New Roman"/>
          <w:i w:val="1"/>
          <w:sz w:val="24"/>
          <w:szCs w:val="24"/>
          <w:rtl w:val="0"/>
        </w:rPr>
        <w:t xml:space="preserve">Clinical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26</w:t>
      </w:r>
      <w:r w:rsidDel="00000000" w:rsidR="00000000" w:rsidRPr="00000000">
        <w:rPr>
          <w:rFonts w:ascii="Times New Roman" w:cs="Times New Roman" w:eastAsia="Times New Roman" w:hAnsi="Times New Roman"/>
          <w:sz w:val="24"/>
          <w:szCs w:val="24"/>
          <w:rtl w:val="0"/>
        </w:rPr>
        <w:t xml:space="preserve">(1). </w:t>
      </w:r>
      <w:hyperlink r:id="rId21">
        <w:r w:rsidDel="00000000" w:rsidR="00000000" w:rsidRPr="00000000">
          <w:rPr>
            <w:rFonts w:ascii="Times New Roman" w:cs="Times New Roman" w:eastAsia="Times New Roman" w:hAnsi="Times New Roman"/>
            <w:color w:val="1155cc"/>
            <w:sz w:val="24"/>
            <w:szCs w:val="24"/>
            <w:u w:val="single"/>
            <w:rtl w:val="0"/>
          </w:rPr>
          <w:t xml:space="preserve">https://doi.org/10.1186/s40885-020-00143-1</w:t>
        </w:r>
      </w:hyperlink>
      <w:r w:rsidDel="00000000" w:rsidR="00000000" w:rsidRPr="00000000">
        <w:rPr>
          <w:rtl w:val="0"/>
        </w:rPr>
      </w:r>
    </w:p>
    <w:p w:rsidR="00000000" w:rsidDel="00000000" w:rsidP="00000000" w:rsidRDefault="00000000" w:rsidRPr="00000000" w14:paraId="0000028A">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Dhar, L., Dantas, J., &amp; Ali, M. (2017). A Systematic Review of Factors Influencing Medication Adherence to Hypertension Treatment in Developing Countries. </w:t>
      </w:r>
      <w:r w:rsidDel="00000000" w:rsidR="00000000" w:rsidRPr="00000000">
        <w:rPr>
          <w:rFonts w:ascii="Times New Roman" w:cs="Times New Roman" w:eastAsia="Times New Roman" w:hAnsi="Times New Roman"/>
          <w:i w:val="1"/>
          <w:sz w:val="24"/>
          <w:szCs w:val="24"/>
          <w:rtl w:val="0"/>
        </w:rPr>
        <w:t xml:space="preserve">Open Journal of Epidemiology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07</w:t>
      </w:r>
      <w:r w:rsidDel="00000000" w:rsidR="00000000" w:rsidRPr="00000000">
        <w:rPr>
          <w:rFonts w:ascii="Times New Roman" w:cs="Times New Roman" w:eastAsia="Times New Roman" w:hAnsi="Times New Roman"/>
          <w:sz w:val="24"/>
          <w:szCs w:val="24"/>
          <w:rtl w:val="0"/>
        </w:rPr>
        <w:t xml:space="preserve">(03), 211–250. </w:t>
      </w:r>
      <w:hyperlink r:id="rId22">
        <w:r w:rsidDel="00000000" w:rsidR="00000000" w:rsidRPr="00000000">
          <w:rPr>
            <w:rFonts w:ascii="Times New Roman" w:cs="Times New Roman" w:eastAsia="Times New Roman" w:hAnsi="Times New Roman"/>
            <w:color w:val="1155cc"/>
            <w:sz w:val="24"/>
            <w:szCs w:val="24"/>
            <w:u w:val="single"/>
            <w:rtl w:val="0"/>
          </w:rPr>
          <w:t xml:space="preserve">https://doi.org/10.4236/ojepi.2017.73018</w:t>
        </w:r>
      </w:hyperlink>
      <w:r w:rsidDel="00000000" w:rsidR="00000000" w:rsidRPr="00000000">
        <w:rPr>
          <w:rtl w:val="0"/>
        </w:rPr>
      </w:r>
    </w:p>
    <w:p w:rsidR="00000000" w:rsidDel="00000000" w:rsidP="00000000" w:rsidRDefault="00000000" w:rsidRPr="00000000" w14:paraId="0000028B">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Felix, C., Mavel Lopez-Flecher, Vega, M., Andrango, K., Andrango, S., Parise-Vasco, J. M., Angamarca-Iguago, J., Simancas-Racines, D., Patricio Lopez-Jaramillo, Shrikant Bangdiwala, Rangarajan, S., &amp; Yusuf, S. (2025). Self-Reported Prevalence of Chronic Non-Communicable Diseases Concerning Socioeconomic and Educational Factors: Analysis of the PURE-Ecuador Cohort. </w:t>
      </w:r>
      <w:r w:rsidDel="00000000" w:rsidR="00000000" w:rsidRPr="00000000">
        <w:rPr>
          <w:rFonts w:ascii="Times New Roman" w:cs="Times New Roman" w:eastAsia="Times New Roman" w:hAnsi="Times New Roman"/>
          <w:i w:val="1"/>
          <w:sz w:val="24"/>
          <w:szCs w:val="24"/>
          <w:rtl w:val="0"/>
        </w:rPr>
        <w:t xml:space="preserve">Global Heart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20</w:t>
      </w:r>
      <w:r w:rsidDel="00000000" w:rsidR="00000000" w:rsidRPr="00000000">
        <w:rPr>
          <w:rFonts w:ascii="Times New Roman" w:cs="Times New Roman" w:eastAsia="Times New Roman" w:hAnsi="Times New Roman"/>
          <w:sz w:val="24"/>
          <w:szCs w:val="24"/>
          <w:rtl w:val="0"/>
        </w:rPr>
        <w:t xml:space="preserve">(1), 29–29. </w:t>
      </w:r>
      <w:hyperlink r:id="rId23">
        <w:r w:rsidDel="00000000" w:rsidR="00000000" w:rsidRPr="00000000">
          <w:rPr>
            <w:rFonts w:ascii="Times New Roman" w:cs="Times New Roman" w:eastAsia="Times New Roman" w:hAnsi="Times New Roman"/>
            <w:color w:val="1155cc"/>
            <w:sz w:val="24"/>
            <w:szCs w:val="24"/>
            <w:u w:val="single"/>
            <w:rtl w:val="0"/>
          </w:rPr>
          <w:t xml:space="preserve">https://doi.org/10.5334/gh.141</w:t>
        </w:r>
      </w:hyperlink>
      <w:r w:rsidDel="00000000" w:rsidR="00000000" w:rsidRPr="00000000">
        <w:rPr>
          <w:rtl w:val="0"/>
        </w:rPr>
      </w:r>
    </w:p>
    <w:p w:rsidR="00000000" w:rsidDel="00000000" w:rsidP="00000000" w:rsidRDefault="00000000" w:rsidRPr="00000000" w14:paraId="0000028C">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Forouzanfar, M. H., Alexander, L., Anderson, H. R., Bachman, V. F., Biryukov, S., Brauer, M., Burnett, R., Casey, D., Coates, M. M., Cohen, A., Delwiche, K., Estep, K., Frostad, J. J., KC, A., Kyu, H. H., Moradi-Lakeh, M., Ng, M., Slepak, E. L., Thomas, B. A., &amp; Wagner, J. (2015). Global, regional, and national comparative risk assessment of 79 behavioural, environmental and occupational, and metabolic risks or clusters of risks in 188 countries, 1990–2013: a systematic analysis for the Global Burden of Disease Study 2013. </w:t>
      </w:r>
      <w:r w:rsidDel="00000000" w:rsidR="00000000" w:rsidRPr="00000000">
        <w:rPr>
          <w:rFonts w:ascii="Times New Roman" w:cs="Times New Roman" w:eastAsia="Times New Roman" w:hAnsi="Times New Roman"/>
          <w:i w:val="1"/>
          <w:sz w:val="24"/>
          <w:szCs w:val="24"/>
          <w:rtl w:val="0"/>
        </w:rPr>
        <w:t xml:space="preserve">The Lancet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386</w:t>
      </w:r>
      <w:r w:rsidDel="00000000" w:rsidR="00000000" w:rsidRPr="00000000">
        <w:rPr>
          <w:rFonts w:ascii="Times New Roman" w:cs="Times New Roman" w:eastAsia="Times New Roman" w:hAnsi="Times New Roman"/>
          <w:sz w:val="24"/>
          <w:szCs w:val="24"/>
          <w:rtl w:val="0"/>
        </w:rPr>
        <w:t xml:space="preserve">(10010), 2287–2323. </w:t>
      </w:r>
      <w:hyperlink r:id="rId24">
        <w:r w:rsidDel="00000000" w:rsidR="00000000" w:rsidRPr="00000000">
          <w:rPr>
            <w:rFonts w:ascii="Times New Roman" w:cs="Times New Roman" w:eastAsia="Times New Roman" w:hAnsi="Times New Roman"/>
            <w:color w:val="1155cc"/>
            <w:sz w:val="24"/>
            <w:szCs w:val="24"/>
            <w:u w:val="single"/>
            <w:rtl w:val="0"/>
          </w:rPr>
          <w:t xml:space="preserve">https://doi.org/10.1016/s0140-6736(15)00128-2</w:t>
        </w:r>
      </w:hyperlink>
      <w:r w:rsidDel="00000000" w:rsidR="00000000" w:rsidRPr="00000000">
        <w:rPr>
          <w:rtl w:val="0"/>
        </w:rPr>
      </w:r>
    </w:p>
    <w:p w:rsidR="00000000" w:rsidDel="00000000" w:rsidP="00000000" w:rsidRDefault="00000000" w:rsidRPr="00000000" w14:paraId="0000028D">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Gabb, G. (2020). What is hypertension? </w:t>
      </w:r>
      <w:r w:rsidDel="00000000" w:rsidR="00000000" w:rsidRPr="00000000">
        <w:rPr>
          <w:rFonts w:ascii="Times New Roman" w:cs="Times New Roman" w:eastAsia="Times New Roman" w:hAnsi="Times New Roman"/>
          <w:i w:val="1"/>
          <w:sz w:val="24"/>
          <w:szCs w:val="24"/>
          <w:rtl w:val="0"/>
        </w:rPr>
        <w:t xml:space="preserve">Australian Prescriber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43</w:t>
      </w:r>
      <w:r w:rsidDel="00000000" w:rsidR="00000000" w:rsidRPr="00000000">
        <w:rPr>
          <w:rFonts w:ascii="Times New Roman" w:cs="Times New Roman" w:eastAsia="Times New Roman" w:hAnsi="Times New Roman"/>
          <w:sz w:val="24"/>
          <w:szCs w:val="24"/>
          <w:rtl w:val="0"/>
        </w:rPr>
        <w:t xml:space="preserve">(4), 108–109. </w:t>
      </w:r>
      <w:hyperlink r:id="rId25">
        <w:r w:rsidDel="00000000" w:rsidR="00000000" w:rsidRPr="00000000">
          <w:rPr>
            <w:rFonts w:ascii="Times New Roman" w:cs="Times New Roman" w:eastAsia="Times New Roman" w:hAnsi="Times New Roman"/>
            <w:color w:val="1155cc"/>
            <w:sz w:val="24"/>
            <w:szCs w:val="24"/>
            <w:u w:val="single"/>
            <w:rtl w:val="0"/>
          </w:rPr>
          <w:t xml:space="preserve">https://doi.org/10.18773/austprescr.2020.025</w:t>
        </w:r>
      </w:hyperlink>
      <w:r w:rsidDel="00000000" w:rsidR="00000000" w:rsidRPr="00000000">
        <w:rPr>
          <w:rtl w:val="0"/>
        </w:rPr>
      </w:r>
    </w:p>
    <w:p w:rsidR="00000000" w:rsidDel="00000000" w:rsidP="00000000" w:rsidRDefault="00000000" w:rsidRPr="00000000" w14:paraId="0000028E">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Garies, S., Hao, S., McBrien, K., Williamson, T., Peng, M., Khan, N. A., Padwal, R. S., Quan, H., &amp; Leung, A. A. (2019). Prevalence of Hypertension, Treatment, and Blood Pressure Targets in Canada Associated With the 2017 American College of Cardiology and American Heart Association Blood Pressure Guidelines. </w:t>
      </w:r>
      <w:r w:rsidDel="00000000" w:rsidR="00000000" w:rsidRPr="00000000">
        <w:rPr>
          <w:rFonts w:ascii="Times New Roman" w:cs="Times New Roman" w:eastAsia="Times New Roman" w:hAnsi="Times New Roman"/>
          <w:i w:val="1"/>
          <w:sz w:val="24"/>
          <w:szCs w:val="24"/>
          <w:rtl w:val="0"/>
        </w:rPr>
        <w:t xml:space="preserve">JAMA Network Open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(3), e190406. </w:t>
      </w:r>
      <w:hyperlink r:id="rId26">
        <w:r w:rsidDel="00000000" w:rsidR="00000000" w:rsidRPr="00000000">
          <w:rPr>
            <w:rFonts w:ascii="Times New Roman" w:cs="Times New Roman" w:eastAsia="Times New Roman" w:hAnsi="Times New Roman"/>
            <w:color w:val="1155cc"/>
            <w:sz w:val="24"/>
            <w:szCs w:val="24"/>
            <w:u w:val="single"/>
            <w:rtl w:val="0"/>
          </w:rPr>
          <w:t xml:space="preserve">https://doi.org/10.1001/jamanetworkopen.2019.0406</w:t>
        </w:r>
      </w:hyperlink>
      <w:r w:rsidDel="00000000" w:rsidR="00000000" w:rsidRPr="00000000">
        <w:rPr>
          <w:rtl w:val="0"/>
        </w:rPr>
      </w:r>
    </w:p>
    <w:p w:rsidR="00000000" w:rsidDel="00000000" w:rsidP="00000000" w:rsidRDefault="00000000" w:rsidRPr="00000000" w14:paraId="0000028F">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Ghosh, S., &amp; Kumar, M. (2019). Prevalence and associated risk factors of hypertension among persons aged 15–49 in India: a cross-sectional study. </w:t>
      </w:r>
      <w:r w:rsidDel="00000000" w:rsidR="00000000" w:rsidRPr="00000000">
        <w:rPr>
          <w:rFonts w:ascii="Times New Roman" w:cs="Times New Roman" w:eastAsia="Times New Roman" w:hAnsi="Times New Roman"/>
          <w:i w:val="1"/>
          <w:sz w:val="24"/>
          <w:szCs w:val="24"/>
          <w:rtl w:val="0"/>
        </w:rPr>
        <w:t xml:space="preserve">BMJ Open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w:t>
      </w:r>
      <w:r w:rsidDel="00000000" w:rsidR="00000000" w:rsidRPr="00000000">
        <w:rPr>
          <w:rFonts w:ascii="Times New Roman" w:cs="Times New Roman" w:eastAsia="Times New Roman" w:hAnsi="Times New Roman"/>
          <w:sz w:val="24"/>
          <w:szCs w:val="24"/>
          <w:rtl w:val="0"/>
        </w:rPr>
        <w:t xml:space="preserve">(12), e029714. </w:t>
      </w:r>
      <w:hyperlink r:id="rId27">
        <w:r w:rsidDel="00000000" w:rsidR="00000000" w:rsidRPr="00000000">
          <w:rPr>
            <w:rFonts w:ascii="Times New Roman" w:cs="Times New Roman" w:eastAsia="Times New Roman" w:hAnsi="Times New Roman"/>
            <w:color w:val="1155cc"/>
            <w:sz w:val="24"/>
            <w:szCs w:val="24"/>
            <w:u w:val="single"/>
            <w:rtl w:val="0"/>
          </w:rPr>
          <w:t xml:space="preserve">https://doi.org/10.1136/bmjopen-2019-029714</w:t>
        </w:r>
      </w:hyperlink>
      <w:r w:rsidDel="00000000" w:rsidR="00000000" w:rsidRPr="00000000">
        <w:rPr>
          <w:rtl w:val="0"/>
        </w:rPr>
      </w:r>
    </w:p>
    <w:p w:rsidR="00000000" w:rsidDel="00000000" w:rsidP="00000000" w:rsidRDefault="00000000" w:rsidRPr="00000000" w14:paraId="00000290">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[15]Gutierrez, M. M., &amp; Sakulbumrungsil, R. (2021). Factors associated with medication adherence of hypertensive patients in the Philippines: a systematic review. </w:t>
      </w:r>
      <w:r w:rsidDel="00000000" w:rsidR="00000000" w:rsidRPr="00000000">
        <w:rPr>
          <w:rFonts w:ascii="Times New Roman" w:cs="Times New Roman" w:eastAsia="Times New Roman" w:hAnsi="Times New Roman"/>
          <w:i w:val="1"/>
          <w:sz w:val="24"/>
          <w:szCs w:val="24"/>
          <w:rtl w:val="0"/>
        </w:rPr>
        <w:t xml:space="preserve">Clinical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27</w:t>
      </w:r>
      <w:r w:rsidDel="00000000" w:rsidR="00000000" w:rsidRPr="00000000">
        <w:rPr>
          <w:rFonts w:ascii="Times New Roman" w:cs="Times New Roman" w:eastAsia="Times New Roman" w:hAnsi="Times New Roman"/>
          <w:sz w:val="24"/>
          <w:szCs w:val="24"/>
          <w:rtl w:val="0"/>
        </w:rPr>
        <w:t xml:space="preserve">(1). </w:t>
      </w:r>
      <w:hyperlink r:id="rId28">
        <w:r w:rsidDel="00000000" w:rsidR="00000000" w:rsidRPr="00000000">
          <w:rPr>
            <w:rFonts w:ascii="Times New Roman" w:cs="Times New Roman" w:eastAsia="Times New Roman" w:hAnsi="Times New Roman"/>
            <w:color w:val="1155cc"/>
            <w:sz w:val="24"/>
            <w:szCs w:val="24"/>
            <w:u w:val="single"/>
            <w:rtl w:val="0"/>
          </w:rPr>
          <w:t xml:space="preserve">https://doi.org/10.1186/s40885-021-00176-0</w:t>
        </w:r>
      </w:hyperlink>
      <w:r w:rsidDel="00000000" w:rsidR="00000000" w:rsidRPr="00000000">
        <w:rPr>
          <w:rtl w:val="0"/>
        </w:rPr>
      </w:r>
    </w:p>
    <w:p w:rsidR="00000000" w:rsidDel="00000000" w:rsidP="00000000" w:rsidRDefault="00000000" w:rsidRPr="00000000" w14:paraId="00000291">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 Hamrahian, S. M., Maarouf, O. H., &amp; Fülöp, T. (2022). A Critical Review of Medication Adherence in Hypertension: Barriers and Facilitators Clinicians Should Consider. </w:t>
      </w:r>
      <w:r w:rsidDel="00000000" w:rsidR="00000000" w:rsidRPr="00000000">
        <w:rPr>
          <w:rFonts w:ascii="Times New Roman" w:cs="Times New Roman" w:eastAsia="Times New Roman" w:hAnsi="Times New Roman"/>
          <w:i w:val="1"/>
          <w:sz w:val="24"/>
          <w:szCs w:val="24"/>
          <w:rtl w:val="0"/>
        </w:rPr>
        <w:t xml:space="preserve">Patient Preference and Adherence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Volume 16</w:t>
      </w:r>
      <w:r w:rsidDel="00000000" w:rsidR="00000000" w:rsidRPr="00000000">
        <w:rPr>
          <w:rFonts w:ascii="Times New Roman" w:cs="Times New Roman" w:eastAsia="Times New Roman" w:hAnsi="Times New Roman"/>
          <w:sz w:val="24"/>
          <w:szCs w:val="24"/>
          <w:rtl w:val="0"/>
        </w:rPr>
        <w:t xml:space="preserve">(16), 2749–2757. </w:t>
      </w:r>
      <w:hyperlink r:id="rId29">
        <w:r w:rsidDel="00000000" w:rsidR="00000000" w:rsidRPr="00000000">
          <w:rPr>
            <w:rFonts w:ascii="Times New Roman" w:cs="Times New Roman" w:eastAsia="Times New Roman" w:hAnsi="Times New Roman"/>
            <w:color w:val="1155cc"/>
            <w:sz w:val="24"/>
            <w:szCs w:val="24"/>
            <w:u w:val="single"/>
            <w:rtl w:val="0"/>
          </w:rPr>
          <w:t xml:space="preserve">https://doi.org/10.2147/ppa.s368784</w:t>
        </w:r>
      </w:hyperlink>
      <w:r w:rsidDel="00000000" w:rsidR="00000000" w:rsidRPr="00000000">
        <w:rPr>
          <w:rtl w:val="0"/>
        </w:rPr>
      </w:r>
    </w:p>
    <w:p w:rsidR="00000000" w:rsidDel="00000000" w:rsidP="00000000" w:rsidRDefault="00000000" w:rsidRPr="00000000" w14:paraId="00000292">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[17]Hashmi, S. K., Afridi, M. B., Abbas, K., Sajwani, R. A., Saleheen, D., Frossard, P. M., Ishaq, M., Ambreen, A., &amp; Ahmad, U. (2007). Factors Associated with Adherence to Anti-Hypertensive Treatment in Pakistan. </w:t>
      </w:r>
      <w:r w:rsidDel="00000000" w:rsidR="00000000" w:rsidRPr="00000000">
        <w:rPr>
          <w:rFonts w:ascii="Times New Roman" w:cs="Times New Roman" w:eastAsia="Times New Roman" w:hAnsi="Times New Roman"/>
          <w:i w:val="1"/>
          <w:sz w:val="24"/>
          <w:szCs w:val="24"/>
          <w:rtl w:val="0"/>
        </w:rPr>
        <w:t xml:space="preserve">PLoS ONE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(3), e280. </w:t>
      </w:r>
      <w:hyperlink r:id="rId30">
        <w:r w:rsidDel="00000000" w:rsidR="00000000" w:rsidRPr="00000000">
          <w:rPr>
            <w:rFonts w:ascii="Times New Roman" w:cs="Times New Roman" w:eastAsia="Times New Roman" w:hAnsi="Times New Roman"/>
            <w:color w:val="1155cc"/>
            <w:sz w:val="24"/>
            <w:szCs w:val="24"/>
            <w:u w:val="single"/>
            <w:rtl w:val="0"/>
          </w:rPr>
          <w:t xml:space="preserve">https://doi.org/10.1371/journal.pone.0000280</w:t>
        </w:r>
      </w:hyperlink>
      <w:r w:rsidDel="00000000" w:rsidR="00000000" w:rsidRPr="00000000">
        <w:rPr>
          <w:rtl w:val="0"/>
        </w:rPr>
      </w:r>
    </w:p>
    <w:p w:rsidR="00000000" w:rsidDel="00000000" w:rsidP="00000000" w:rsidRDefault="00000000" w:rsidRPr="00000000" w14:paraId="00000293">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[18]Hossain, A., Ahsan, G. U., Hossain, M. Z., Hossain, M. A., Probal Sutradhar, Alam, S.-E., Sultana, Z. Z., Hijazi, H., Rahman, S. A., &amp; Mohamad Alameddine. (2025). Medication adherence and blood pressure control in treated hypertensive patients: first follow-up findings from the PREDIcT-HTN study in Northern Bangladesh. </w:t>
      </w:r>
      <w:r w:rsidDel="00000000" w:rsidR="00000000" w:rsidRPr="00000000">
        <w:rPr>
          <w:rFonts w:ascii="Times New Roman" w:cs="Times New Roman" w:eastAsia="Times New Roman" w:hAnsi="Times New Roman"/>
          <w:i w:val="1"/>
          <w:sz w:val="24"/>
          <w:szCs w:val="24"/>
          <w:rtl w:val="0"/>
        </w:rPr>
        <w:t xml:space="preserve">BMC Public Health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25</w:t>
      </w:r>
      <w:r w:rsidDel="00000000" w:rsidR="00000000" w:rsidRPr="00000000">
        <w:rPr>
          <w:rFonts w:ascii="Times New Roman" w:cs="Times New Roman" w:eastAsia="Times New Roman" w:hAnsi="Times New Roman"/>
          <w:sz w:val="24"/>
          <w:szCs w:val="24"/>
          <w:rtl w:val="0"/>
        </w:rPr>
        <w:t xml:space="preserve">(1). </w:t>
      </w:r>
      <w:hyperlink r:id="rId31">
        <w:r w:rsidDel="00000000" w:rsidR="00000000" w:rsidRPr="00000000">
          <w:rPr>
            <w:rFonts w:ascii="Times New Roman" w:cs="Times New Roman" w:eastAsia="Times New Roman" w:hAnsi="Times New Roman"/>
            <w:color w:val="1155cc"/>
            <w:sz w:val="24"/>
            <w:szCs w:val="24"/>
            <w:u w:val="single"/>
            <w:rtl w:val="0"/>
          </w:rPr>
          <w:t xml:space="preserve">https://doi.org/10.1186/s12889-025-21409-z</w:t>
        </w:r>
      </w:hyperlink>
      <w:r w:rsidDel="00000000" w:rsidR="00000000" w:rsidRPr="00000000">
        <w:rPr>
          <w:rtl w:val="0"/>
        </w:rPr>
      </w:r>
    </w:p>
    <w:p w:rsidR="00000000" w:rsidDel="00000000" w:rsidP="00000000" w:rsidRDefault="00000000" w:rsidRPr="00000000" w14:paraId="00000294">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Husain, M. J., Haider, M. S., Tarannum, R., Jubayer, S., Bhuiyan, M. R., Kostova, D., Moran, A. E., &amp; Choudhury, S. R. (2022). Cost of primary care approaches for hypertension management and risk-based cardiovascular disease prevention in Bangladesh: a HEARTS costing tool application. </w:t>
      </w:r>
      <w:r w:rsidDel="00000000" w:rsidR="00000000" w:rsidRPr="00000000">
        <w:rPr>
          <w:rFonts w:ascii="Times New Roman" w:cs="Times New Roman" w:eastAsia="Times New Roman" w:hAnsi="Times New Roman"/>
          <w:i w:val="1"/>
          <w:sz w:val="24"/>
          <w:szCs w:val="24"/>
          <w:rtl w:val="0"/>
        </w:rPr>
        <w:t xml:space="preserve">BMJ Open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12</w:t>
      </w:r>
      <w:r w:rsidDel="00000000" w:rsidR="00000000" w:rsidRPr="00000000">
        <w:rPr>
          <w:rFonts w:ascii="Times New Roman" w:cs="Times New Roman" w:eastAsia="Times New Roman" w:hAnsi="Times New Roman"/>
          <w:sz w:val="24"/>
          <w:szCs w:val="24"/>
          <w:rtl w:val="0"/>
        </w:rPr>
        <w:t xml:space="preserve">(6), e061467. </w:t>
      </w:r>
      <w:hyperlink r:id="rId32">
        <w:r w:rsidDel="00000000" w:rsidR="00000000" w:rsidRPr="00000000">
          <w:rPr>
            <w:rFonts w:ascii="Times New Roman" w:cs="Times New Roman" w:eastAsia="Times New Roman" w:hAnsi="Times New Roman"/>
            <w:color w:val="1155cc"/>
            <w:sz w:val="24"/>
            <w:szCs w:val="24"/>
            <w:u w:val="single"/>
            <w:rtl w:val="0"/>
          </w:rPr>
          <w:t xml:space="preserve">https://doi.org/10.1136/bmjopen-2022-061467</w:t>
        </w:r>
      </w:hyperlink>
      <w:r w:rsidDel="00000000" w:rsidR="00000000" w:rsidRPr="00000000">
        <w:rPr>
          <w:rtl w:val="0"/>
        </w:rPr>
      </w:r>
    </w:p>
    <w:p w:rsidR="00000000" w:rsidDel="00000000" w:rsidP="00000000" w:rsidRDefault="00000000" w:rsidRPr="00000000" w14:paraId="00000295">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Islam, S. M. S., Biswas, T., Bhuiyan, F. A., Mustafa, K., &amp; Islam, A. (2017). Patients’ perspective of disease and medication adherence for type 2 diabetes in an urban area in Bangladesh: a qualitative study. </w:t>
      </w:r>
      <w:r w:rsidDel="00000000" w:rsidR="00000000" w:rsidRPr="00000000">
        <w:rPr>
          <w:rFonts w:ascii="Times New Roman" w:cs="Times New Roman" w:eastAsia="Times New Roman" w:hAnsi="Times New Roman"/>
          <w:i w:val="1"/>
          <w:sz w:val="24"/>
          <w:szCs w:val="24"/>
          <w:rtl w:val="0"/>
        </w:rPr>
        <w:t xml:space="preserve">BMC Research Notes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10</w:t>
      </w:r>
      <w:r w:rsidDel="00000000" w:rsidR="00000000" w:rsidRPr="00000000">
        <w:rPr>
          <w:rFonts w:ascii="Times New Roman" w:cs="Times New Roman" w:eastAsia="Times New Roman" w:hAnsi="Times New Roman"/>
          <w:sz w:val="24"/>
          <w:szCs w:val="24"/>
          <w:rtl w:val="0"/>
        </w:rPr>
        <w:t xml:space="preserve">(1). </w:t>
      </w:r>
      <w:hyperlink r:id="rId33">
        <w:r w:rsidDel="00000000" w:rsidR="00000000" w:rsidRPr="00000000">
          <w:rPr>
            <w:rFonts w:ascii="Times New Roman" w:cs="Times New Roman" w:eastAsia="Times New Roman" w:hAnsi="Times New Roman"/>
            <w:color w:val="1155cc"/>
            <w:sz w:val="24"/>
            <w:szCs w:val="24"/>
            <w:u w:val="single"/>
            <w:rtl w:val="0"/>
          </w:rPr>
          <w:t xml:space="preserve">https://doi.org/10.1186/s13104-017-2454-7</w:t>
        </w:r>
      </w:hyperlink>
      <w:r w:rsidDel="00000000" w:rsidR="00000000" w:rsidRPr="00000000">
        <w:rPr>
          <w:rtl w:val="0"/>
        </w:rPr>
      </w:r>
    </w:p>
    <w:p w:rsidR="00000000" w:rsidDel="00000000" w:rsidP="00000000" w:rsidRDefault="00000000" w:rsidRPr="00000000" w14:paraId="00000296">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Jafar, T. H., Gandhi, M., Jehan, I., Naheed, A., de Silva, H. A., Shahab, H., Alam, D., Luke, N., &amp; Wee Lim, C. (2018). Determinants of Uncontrolled Hypertension in Rural Communities in South Asia—Bangladesh, Pakistan, and Sri Lanka. </w:t>
      </w:r>
      <w:r w:rsidDel="00000000" w:rsidR="00000000" w:rsidRPr="00000000">
        <w:rPr>
          <w:rFonts w:ascii="Times New Roman" w:cs="Times New Roman" w:eastAsia="Times New Roman" w:hAnsi="Times New Roman"/>
          <w:i w:val="1"/>
          <w:sz w:val="24"/>
          <w:szCs w:val="24"/>
          <w:rtl w:val="0"/>
        </w:rPr>
        <w:t xml:space="preserve">American Journal of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31</w:t>
      </w:r>
      <w:r w:rsidDel="00000000" w:rsidR="00000000" w:rsidRPr="00000000">
        <w:rPr>
          <w:rFonts w:ascii="Times New Roman" w:cs="Times New Roman" w:eastAsia="Times New Roman" w:hAnsi="Times New Roman"/>
          <w:sz w:val="24"/>
          <w:szCs w:val="24"/>
          <w:rtl w:val="0"/>
        </w:rPr>
        <w:t xml:space="preserve">(11), 1205–1214. </w:t>
      </w:r>
      <w:hyperlink r:id="rId34">
        <w:r w:rsidDel="00000000" w:rsidR="00000000" w:rsidRPr="00000000">
          <w:rPr>
            <w:rFonts w:ascii="Times New Roman" w:cs="Times New Roman" w:eastAsia="Times New Roman" w:hAnsi="Times New Roman"/>
            <w:color w:val="1155cc"/>
            <w:sz w:val="24"/>
            <w:szCs w:val="24"/>
            <w:u w:val="single"/>
            <w:rtl w:val="0"/>
          </w:rPr>
          <w:t xml:space="preserve">https://doi.org/10.1093/ajh/hpy071</w:t>
        </w:r>
      </w:hyperlink>
      <w:r w:rsidDel="00000000" w:rsidR="00000000" w:rsidRPr="00000000">
        <w:rPr>
          <w:rtl w:val="0"/>
        </w:rPr>
      </w:r>
    </w:p>
    <w:p w:rsidR="00000000" w:rsidDel="00000000" w:rsidP="00000000" w:rsidRDefault="00000000" w:rsidRPr="00000000" w14:paraId="00000297">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Jahan, Y., Moriyama, M., Rahman, M. M., Kazawa, K., Mizukawa, M., Rahman, A., Bin Shahid, A. S. M. S., Das, S. K., Faruque, A. S. G., &amp; Chisti, M. J. (2020). Disease perception and experiences among rural Bangladeshi hypertensive women: A qualitative approach. </w:t>
      </w:r>
      <w:r w:rsidDel="00000000" w:rsidR="00000000" w:rsidRPr="00000000">
        <w:rPr>
          <w:rFonts w:ascii="Times New Roman" w:cs="Times New Roman" w:eastAsia="Times New Roman" w:hAnsi="Times New Roman"/>
          <w:i w:val="1"/>
          <w:sz w:val="24"/>
          <w:szCs w:val="24"/>
          <w:rtl w:val="0"/>
        </w:rPr>
        <w:t xml:space="preserve">Health Promotion Perspectives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10</w:t>
      </w:r>
      <w:r w:rsidDel="00000000" w:rsidR="00000000" w:rsidRPr="00000000">
        <w:rPr>
          <w:rFonts w:ascii="Times New Roman" w:cs="Times New Roman" w:eastAsia="Times New Roman" w:hAnsi="Times New Roman"/>
          <w:sz w:val="24"/>
          <w:szCs w:val="24"/>
          <w:rtl w:val="0"/>
        </w:rPr>
        <w:t xml:space="preserve">(1), 66–73. </w:t>
      </w:r>
      <w:hyperlink r:id="rId35">
        <w:r w:rsidDel="00000000" w:rsidR="00000000" w:rsidRPr="00000000">
          <w:rPr>
            <w:rFonts w:ascii="Times New Roman" w:cs="Times New Roman" w:eastAsia="Times New Roman" w:hAnsi="Times New Roman"/>
            <w:color w:val="1155cc"/>
            <w:sz w:val="24"/>
            <w:szCs w:val="24"/>
            <w:u w:val="single"/>
            <w:rtl w:val="0"/>
          </w:rPr>
          <w:t xml:space="preserve">https://doi.org/10.15171/hpp.2020.11</w:t>
        </w:r>
      </w:hyperlink>
      <w:r w:rsidDel="00000000" w:rsidR="00000000" w:rsidRPr="00000000">
        <w:rPr>
          <w:rtl w:val="0"/>
        </w:rPr>
      </w:r>
    </w:p>
    <w:p w:rsidR="00000000" w:rsidDel="00000000" w:rsidP="00000000" w:rsidRDefault="00000000" w:rsidRPr="00000000" w14:paraId="00000298">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Jin, C.-N., Yu, C.-M., Sun, J.-P., Fang, F., Wen, Y.-N., Liu, M., &amp; Lee, A. P.-W. (2013). The healthcare burden of hypertension in Asia. </w:t>
      </w:r>
      <w:r w:rsidDel="00000000" w:rsidR="00000000" w:rsidRPr="00000000">
        <w:rPr>
          <w:rFonts w:ascii="Times New Roman" w:cs="Times New Roman" w:eastAsia="Times New Roman" w:hAnsi="Times New Roman"/>
          <w:i w:val="1"/>
          <w:sz w:val="24"/>
          <w:szCs w:val="24"/>
          <w:rtl w:val="0"/>
        </w:rPr>
        <w:t xml:space="preserve">Heart Asia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w:t>
      </w:r>
      <w:r w:rsidDel="00000000" w:rsidR="00000000" w:rsidRPr="00000000">
        <w:rPr>
          <w:rFonts w:ascii="Times New Roman" w:cs="Times New Roman" w:eastAsia="Times New Roman" w:hAnsi="Times New Roman"/>
          <w:sz w:val="24"/>
          <w:szCs w:val="24"/>
          <w:rtl w:val="0"/>
        </w:rPr>
        <w:t xml:space="preserve">(1), 238–243. </w:t>
      </w:r>
      <w:hyperlink r:id="rId36">
        <w:r w:rsidDel="00000000" w:rsidR="00000000" w:rsidRPr="00000000">
          <w:rPr>
            <w:rFonts w:ascii="Times New Roman" w:cs="Times New Roman" w:eastAsia="Times New Roman" w:hAnsi="Times New Roman"/>
            <w:color w:val="1155cc"/>
            <w:sz w:val="24"/>
            <w:szCs w:val="24"/>
            <w:u w:val="single"/>
            <w:rtl w:val="0"/>
          </w:rPr>
          <w:t xml:space="preserve">https://doi.org/10.1136/heartasia-2013-010408</w:t>
        </w:r>
      </w:hyperlink>
      <w:r w:rsidDel="00000000" w:rsidR="00000000" w:rsidRPr="00000000">
        <w:rPr>
          <w:rtl w:val="0"/>
        </w:rPr>
      </w:r>
    </w:p>
    <w:p w:rsidR="00000000" w:rsidDel="00000000" w:rsidP="00000000" w:rsidRDefault="00000000" w:rsidRPr="00000000" w14:paraId="00000299">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Lee, E. K. P., Poon, P., Yip, B. H. K., Bo, Y., Zhu, M., Yu, C., Ngai, A. C. H., Wong, M. C. S., &amp; Wong, S. Y. S. (2022). Global Burden, Regional Differences, Trends, and Health Consequences of Medication Nonadherence for Hypertension During 2010 to 2020: A Meta‐Analysis Involving 27 Million Patients. </w:t>
      </w:r>
      <w:r w:rsidDel="00000000" w:rsidR="00000000" w:rsidRPr="00000000">
        <w:rPr>
          <w:rFonts w:ascii="Times New Roman" w:cs="Times New Roman" w:eastAsia="Times New Roman" w:hAnsi="Times New Roman"/>
          <w:i w:val="1"/>
          <w:sz w:val="24"/>
          <w:szCs w:val="24"/>
          <w:rtl w:val="0"/>
        </w:rPr>
        <w:t xml:space="preserve">Journal of the American Heart Association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11</w:t>
      </w:r>
      <w:r w:rsidDel="00000000" w:rsidR="00000000" w:rsidRPr="00000000">
        <w:rPr>
          <w:rFonts w:ascii="Times New Roman" w:cs="Times New Roman" w:eastAsia="Times New Roman" w:hAnsi="Times New Roman"/>
          <w:sz w:val="24"/>
          <w:szCs w:val="24"/>
          <w:rtl w:val="0"/>
        </w:rPr>
        <w:t xml:space="preserve">(17). </w:t>
      </w:r>
      <w:hyperlink r:id="rId37">
        <w:r w:rsidDel="00000000" w:rsidR="00000000" w:rsidRPr="00000000">
          <w:rPr>
            <w:rFonts w:ascii="Times New Roman" w:cs="Times New Roman" w:eastAsia="Times New Roman" w:hAnsi="Times New Roman"/>
            <w:color w:val="1155cc"/>
            <w:sz w:val="24"/>
            <w:szCs w:val="24"/>
            <w:u w:val="single"/>
            <w:rtl w:val="0"/>
          </w:rPr>
          <w:t xml:space="preserve">https://doi.org/10.1161/jaha.122.026582</w:t>
        </w:r>
      </w:hyperlink>
      <w:r w:rsidDel="00000000" w:rsidR="00000000" w:rsidRPr="00000000">
        <w:rPr>
          <w:rtl w:val="0"/>
        </w:rPr>
      </w:r>
    </w:p>
    <w:p w:rsidR="00000000" w:rsidDel="00000000" w:rsidP="00000000" w:rsidRDefault="00000000" w:rsidRPr="00000000" w14:paraId="0000029A">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Lemstra, M., &amp; Alsabbagh, W. (2014). Proportion and risk indicators of nonadherence to antihypertensive therapy: a meta-analysis. </w:t>
      </w:r>
      <w:r w:rsidDel="00000000" w:rsidR="00000000" w:rsidRPr="00000000">
        <w:rPr>
          <w:rFonts w:ascii="Times New Roman" w:cs="Times New Roman" w:eastAsia="Times New Roman" w:hAnsi="Times New Roman"/>
          <w:i w:val="1"/>
          <w:sz w:val="24"/>
          <w:szCs w:val="24"/>
          <w:rtl w:val="0"/>
        </w:rPr>
        <w:t xml:space="preserve">Patient Preference and Adherence</w:t>
      </w:r>
      <w:r w:rsidDel="00000000" w:rsidR="00000000" w:rsidRPr="00000000">
        <w:rPr>
          <w:rFonts w:ascii="Times New Roman" w:cs="Times New Roman" w:eastAsia="Times New Roman" w:hAnsi="Times New Roman"/>
          <w:sz w:val="24"/>
          <w:szCs w:val="24"/>
          <w:rtl w:val="0"/>
        </w:rPr>
        <w:t xml:space="preserve">, 211. </w:t>
      </w:r>
      <w:hyperlink r:id="rId38">
        <w:r w:rsidDel="00000000" w:rsidR="00000000" w:rsidRPr="00000000">
          <w:rPr>
            <w:rFonts w:ascii="Times New Roman" w:cs="Times New Roman" w:eastAsia="Times New Roman" w:hAnsi="Times New Roman"/>
            <w:color w:val="1155cc"/>
            <w:sz w:val="24"/>
            <w:szCs w:val="24"/>
            <w:u w:val="single"/>
            <w:rtl w:val="0"/>
          </w:rPr>
          <w:t xml:space="preserve">https://doi.org/10.2147/ppa.s55382</w:t>
        </w:r>
      </w:hyperlink>
      <w:r w:rsidDel="00000000" w:rsidR="00000000" w:rsidRPr="00000000">
        <w:rPr>
          <w:rtl w:val="0"/>
        </w:rPr>
      </w:r>
    </w:p>
    <w:p w:rsidR="00000000" w:rsidDel="00000000" w:rsidP="00000000" w:rsidRDefault="00000000" w:rsidRPr="00000000" w14:paraId="0000029B">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 Macquart de Terline, D., Kane, A., Kramoh, K. E., Ali Toure, I., Mipinda, J. B., Diop, I. B., Nhavoto, C., Balde, D. M., Ferreira, B., Dèdonougbo Houenassi, M., Ikama, M. S., Kingue, S., Kouam Kouam, C., Takombe, J. L., Limbole, E., Mfeukeu Kuate, L., N’guetta, R., Damorou, J. M., Sesso, Z., &amp; Sidy Ali, A. (2019). Factors associated with poor adherence to medication among hypertensive patients in twelve low and middle income Sub-Saharan countries. </w:t>
      </w:r>
      <w:r w:rsidDel="00000000" w:rsidR="00000000" w:rsidRPr="00000000">
        <w:rPr>
          <w:rFonts w:ascii="Times New Roman" w:cs="Times New Roman" w:eastAsia="Times New Roman" w:hAnsi="Times New Roman"/>
          <w:i w:val="1"/>
          <w:sz w:val="24"/>
          <w:szCs w:val="24"/>
          <w:rtl w:val="0"/>
        </w:rPr>
        <w:t xml:space="preserve">PLOS ONE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14</w:t>
      </w:r>
      <w:r w:rsidDel="00000000" w:rsidR="00000000" w:rsidRPr="00000000">
        <w:rPr>
          <w:rFonts w:ascii="Times New Roman" w:cs="Times New Roman" w:eastAsia="Times New Roman" w:hAnsi="Times New Roman"/>
          <w:sz w:val="24"/>
          <w:szCs w:val="24"/>
          <w:rtl w:val="0"/>
        </w:rPr>
        <w:t xml:space="preserve">(7), e0219266. </w:t>
      </w:r>
      <w:hyperlink r:id="rId39">
        <w:r w:rsidDel="00000000" w:rsidR="00000000" w:rsidRPr="00000000">
          <w:rPr>
            <w:rFonts w:ascii="Times New Roman" w:cs="Times New Roman" w:eastAsia="Times New Roman" w:hAnsi="Times New Roman"/>
            <w:color w:val="1155cc"/>
            <w:sz w:val="24"/>
            <w:szCs w:val="24"/>
            <w:u w:val="single"/>
            <w:rtl w:val="0"/>
          </w:rPr>
          <w:t xml:space="preserve">https://doi.org/10.1371/journal.pone.0219266</w:t>
        </w:r>
      </w:hyperlink>
      <w:r w:rsidDel="00000000" w:rsidR="00000000" w:rsidRPr="00000000">
        <w:rPr>
          <w:rtl w:val="0"/>
        </w:rPr>
      </w:r>
    </w:p>
    <w:p w:rsidR="00000000" w:rsidDel="00000000" w:rsidP="00000000" w:rsidRDefault="00000000" w:rsidRPr="00000000" w14:paraId="0000029C">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Mahdi, A., Armitage, L. C. , Tarassenko, L., &amp; Watkinson, P. (2021). OUP accepted manuscript. </w:t>
      </w:r>
      <w:r w:rsidDel="00000000" w:rsidR="00000000" w:rsidRPr="00000000">
        <w:rPr>
          <w:rFonts w:ascii="Times New Roman" w:cs="Times New Roman" w:eastAsia="Times New Roman" w:hAnsi="Times New Roman"/>
          <w:i w:val="1"/>
          <w:sz w:val="24"/>
          <w:szCs w:val="24"/>
          <w:rtl w:val="0"/>
        </w:rPr>
        <w:t xml:space="preserve">American Journal of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34</w:t>
      </w:r>
      <w:r w:rsidDel="00000000" w:rsidR="00000000" w:rsidRPr="00000000">
        <w:rPr>
          <w:rFonts w:ascii="Times New Roman" w:cs="Times New Roman" w:eastAsia="Times New Roman" w:hAnsi="Times New Roman"/>
          <w:sz w:val="24"/>
          <w:szCs w:val="24"/>
          <w:rtl w:val="0"/>
        </w:rPr>
        <w:t xml:space="preserve">(9). </w:t>
      </w:r>
      <w:hyperlink r:id="rId40">
        <w:r w:rsidDel="00000000" w:rsidR="00000000" w:rsidRPr="00000000">
          <w:rPr>
            <w:rFonts w:ascii="Times New Roman" w:cs="Times New Roman" w:eastAsia="Times New Roman" w:hAnsi="Times New Roman"/>
            <w:color w:val="1155cc"/>
            <w:sz w:val="24"/>
            <w:szCs w:val="24"/>
            <w:u w:val="single"/>
            <w:rtl w:val="0"/>
          </w:rPr>
          <w:t xml:space="preserve">https://doi.org/10.1093/ajh/hpab070</w:t>
        </w:r>
      </w:hyperlink>
      <w:r w:rsidDel="00000000" w:rsidR="00000000" w:rsidRPr="00000000">
        <w:rPr>
          <w:rtl w:val="0"/>
        </w:rPr>
      </w:r>
    </w:p>
    <w:p w:rsidR="00000000" w:rsidDel="00000000" w:rsidP="00000000" w:rsidRDefault="00000000" w:rsidRPr="00000000" w14:paraId="0000029D">
      <w:pPr>
        <w:spacing w:line="276"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E">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 Mahmood, S., Jalal, Z., Hadi, M. A., Khan, T. M., Haque, M. S., &amp; Shah, K. U. (2021). Prevalence of non-adherence to antihypertensive medication in Asia: a systematic review and meta-analysis. </w:t>
      </w:r>
      <w:r w:rsidDel="00000000" w:rsidR="00000000" w:rsidRPr="00000000">
        <w:rPr>
          <w:rFonts w:ascii="Times New Roman" w:cs="Times New Roman" w:eastAsia="Times New Roman" w:hAnsi="Times New Roman"/>
          <w:i w:val="1"/>
          <w:sz w:val="24"/>
          <w:szCs w:val="24"/>
          <w:rtl w:val="0"/>
        </w:rPr>
        <w:t xml:space="preserve">International Journal of Clinical Pharmacy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43</w:t>
      </w:r>
      <w:r w:rsidDel="00000000" w:rsidR="00000000" w:rsidRPr="00000000">
        <w:rPr>
          <w:rFonts w:ascii="Times New Roman" w:cs="Times New Roman" w:eastAsia="Times New Roman" w:hAnsi="Times New Roman"/>
          <w:sz w:val="24"/>
          <w:szCs w:val="24"/>
          <w:rtl w:val="0"/>
        </w:rPr>
        <w:t xml:space="preserve">(3), 486–501. </w:t>
      </w:r>
      <w:hyperlink r:id="rId41">
        <w:r w:rsidDel="00000000" w:rsidR="00000000" w:rsidRPr="00000000">
          <w:rPr>
            <w:rFonts w:ascii="Times New Roman" w:cs="Times New Roman" w:eastAsia="Times New Roman" w:hAnsi="Times New Roman"/>
            <w:color w:val="1155cc"/>
            <w:sz w:val="24"/>
            <w:szCs w:val="24"/>
            <w:u w:val="single"/>
            <w:rtl w:val="0"/>
          </w:rPr>
          <w:t xml:space="preserve">https://doi.org/10.1007/s11096-021-01236-z</w:t>
        </w:r>
      </w:hyperlink>
      <w:r w:rsidDel="00000000" w:rsidR="00000000" w:rsidRPr="00000000">
        <w:rPr>
          <w:rtl w:val="0"/>
        </w:rPr>
      </w:r>
    </w:p>
    <w:p w:rsidR="00000000" w:rsidDel="00000000" w:rsidP="00000000" w:rsidRDefault="00000000" w:rsidRPr="00000000" w14:paraId="0000029F">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[28]Mahmood, S., Jalal, Z., Hadi, M. A., &amp; Shah, K. U. (2020). Association between attendance at outpatient follow-up appointments and blood pressure control among patients with hypertension. </w:t>
      </w:r>
      <w:r w:rsidDel="00000000" w:rsidR="00000000" w:rsidRPr="00000000">
        <w:rPr>
          <w:rFonts w:ascii="Times New Roman" w:cs="Times New Roman" w:eastAsia="Times New Roman" w:hAnsi="Times New Roman"/>
          <w:i w:val="1"/>
          <w:sz w:val="24"/>
          <w:szCs w:val="24"/>
          <w:rtl w:val="0"/>
        </w:rPr>
        <w:t xml:space="preserve">BMC Cardiovascular Disorders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20</w:t>
      </w:r>
      <w:r w:rsidDel="00000000" w:rsidR="00000000" w:rsidRPr="00000000">
        <w:rPr>
          <w:rFonts w:ascii="Times New Roman" w:cs="Times New Roman" w:eastAsia="Times New Roman" w:hAnsi="Times New Roman"/>
          <w:sz w:val="24"/>
          <w:szCs w:val="24"/>
          <w:rtl w:val="0"/>
        </w:rPr>
        <w:t xml:space="preserve">(1). </w:t>
      </w:r>
      <w:hyperlink r:id="rId42">
        <w:r w:rsidDel="00000000" w:rsidR="00000000" w:rsidRPr="00000000">
          <w:rPr>
            <w:rFonts w:ascii="Times New Roman" w:cs="Times New Roman" w:eastAsia="Times New Roman" w:hAnsi="Times New Roman"/>
            <w:color w:val="1155cc"/>
            <w:sz w:val="24"/>
            <w:szCs w:val="24"/>
            <w:u w:val="single"/>
            <w:rtl w:val="0"/>
          </w:rPr>
          <w:t xml:space="preserve">https://doi.org/10.1186/s12872-020-01741-5</w:t>
        </w:r>
      </w:hyperlink>
      <w:r w:rsidDel="00000000" w:rsidR="00000000" w:rsidRPr="00000000">
        <w:rPr>
          <w:rtl w:val="0"/>
        </w:rPr>
      </w:r>
    </w:p>
    <w:p w:rsidR="00000000" w:rsidDel="00000000" w:rsidP="00000000" w:rsidRDefault="00000000" w:rsidRPr="00000000" w14:paraId="000002A0">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 Mannan, A., Hasan, Md. M., Akter, F., Rana, Md. M., Chowdhury, N. A., Rawal, L. B., &amp; Biswas, T. (2021). Factors associated with low adherence to medication among patients with type 2 diabetes at different healthcare facilities in southern Bangladesh. </w:t>
      </w:r>
      <w:r w:rsidDel="00000000" w:rsidR="00000000" w:rsidRPr="00000000">
        <w:rPr>
          <w:rFonts w:ascii="Times New Roman" w:cs="Times New Roman" w:eastAsia="Times New Roman" w:hAnsi="Times New Roman"/>
          <w:i w:val="1"/>
          <w:sz w:val="24"/>
          <w:szCs w:val="24"/>
          <w:rtl w:val="0"/>
        </w:rPr>
        <w:t xml:space="preserve">Global Health Action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14</w:t>
      </w:r>
      <w:r w:rsidDel="00000000" w:rsidR="00000000" w:rsidRPr="00000000">
        <w:rPr>
          <w:rFonts w:ascii="Times New Roman" w:cs="Times New Roman" w:eastAsia="Times New Roman" w:hAnsi="Times New Roman"/>
          <w:sz w:val="24"/>
          <w:szCs w:val="24"/>
          <w:rtl w:val="0"/>
        </w:rPr>
        <w:t xml:space="preserve">(1), 1872895. </w:t>
      </w:r>
      <w:hyperlink r:id="rId43">
        <w:r w:rsidDel="00000000" w:rsidR="00000000" w:rsidRPr="00000000">
          <w:rPr>
            <w:rFonts w:ascii="Times New Roman" w:cs="Times New Roman" w:eastAsia="Times New Roman" w:hAnsi="Times New Roman"/>
            <w:color w:val="1155cc"/>
            <w:sz w:val="24"/>
            <w:szCs w:val="24"/>
            <w:u w:val="single"/>
            <w:rtl w:val="0"/>
          </w:rPr>
          <w:t xml:space="preserve">https://doi.org/10.1080/16549716.2021.1872895</w:t>
        </w:r>
      </w:hyperlink>
      <w:r w:rsidDel="00000000" w:rsidR="00000000" w:rsidRPr="00000000">
        <w:rPr>
          <w:rtl w:val="0"/>
        </w:rPr>
      </w:r>
    </w:p>
    <w:p w:rsidR="00000000" w:rsidDel="00000000" w:rsidP="00000000" w:rsidRDefault="00000000" w:rsidRPr="00000000" w14:paraId="000002A1">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Mant, J., &amp; McManus, R. J. (2006). Does it matter whether patients take their antihypertensive medication as prescribed? The complex relationship between adherence and blood pressure control. </w:t>
      </w:r>
      <w:r w:rsidDel="00000000" w:rsidR="00000000" w:rsidRPr="00000000">
        <w:rPr>
          <w:rFonts w:ascii="Times New Roman" w:cs="Times New Roman" w:eastAsia="Times New Roman" w:hAnsi="Times New Roman"/>
          <w:i w:val="1"/>
          <w:sz w:val="24"/>
          <w:szCs w:val="24"/>
          <w:rtl w:val="0"/>
        </w:rPr>
        <w:t xml:space="preserve">Journal of Human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20</w:t>
      </w:r>
      <w:r w:rsidDel="00000000" w:rsidR="00000000" w:rsidRPr="00000000">
        <w:rPr>
          <w:rFonts w:ascii="Times New Roman" w:cs="Times New Roman" w:eastAsia="Times New Roman" w:hAnsi="Times New Roman"/>
          <w:sz w:val="24"/>
          <w:szCs w:val="24"/>
          <w:rtl w:val="0"/>
        </w:rPr>
        <w:t xml:space="preserve">(8), 551–553. </w:t>
      </w:r>
      <w:hyperlink r:id="rId44">
        <w:r w:rsidDel="00000000" w:rsidR="00000000" w:rsidRPr="00000000">
          <w:rPr>
            <w:rFonts w:ascii="Times New Roman" w:cs="Times New Roman" w:eastAsia="Times New Roman" w:hAnsi="Times New Roman"/>
            <w:color w:val="1155cc"/>
            <w:sz w:val="24"/>
            <w:szCs w:val="24"/>
            <w:u w:val="single"/>
            <w:rtl w:val="0"/>
          </w:rPr>
          <w:t xml:space="preserve">https://doi.org/10.1038/sj.jhh.1002046</w:t>
        </w:r>
      </w:hyperlink>
      <w:r w:rsidDel="00000000" w:rsidR="00000000" w:rsidRPr="00000000">
        <w:rPr>
          <w:rtl w:val="0"/>
        </w:rPr>
      </w:r>
    </w:p>
    <w:p w:rsidR="00000000" w:rsidDel="00000000" w:rsidP="00000000" w:rsidRDefault="00000000" w:rsidRPr="00000000" w14:paraId="000002A2">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 Mohammad Jahid Hasan, Md Zakir Hossain, Md Anwar Hossain, Dalal, K., Md Abdul Baset, Probal Sutradhar, Alam, M., Tabassum, T., Jannatul Fardous, Zaman, P., Md Abdur Rafi, Abdullah, M., &amp; Delwer, M. (2024). Health-care-seeking behaviour in patients with hypertension: experience from a dedicated hypertension centre in Bangladesh. </w:t>
      </w:r>
      <w:r w:rsidDel="00000000" w:rsidR="00000000" w:rsidRPr="00000000">
        <w:rPr>
          <w:rFonts w:ascii="Times New Roman" w:cs="Times New Roman" w:eastAsia="Times New Roman" w:hAnsi="Times New Roman"/>
          <w:i w:val="1"/>
          <w:sz w:val="24"/>
          <w:szCs w:val="24"/>
          <w:rtl w:val="0"/>
        </w:rPr>
        <w:t xml:space="preserve">Blood Pressure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33</w:t>
      </w:r>
      <w:r w:rsidDel="00000000" w:rsidR="00000000" w:rsidRPr="00000000">
        <w:rPr>
          <w:rFonts w:ascii="Times New Roman" w:cs="Times New Roman" w:eastAsia="Times New Roman" w:hAnsi="Times New Roman"/>
          <w:sz w:val="24"/>
          <w:szCs w:val="24"/>
          <w:rtl w:val="0"/>
        </w:rPr>
        <w:t xml:space="preserve">(1). </w:t>
      </w:r>
      <w:hyperlink r:id="rId45">
        <w:r w:rsidDel="00000000" w:rsidR="00000000" w:rsidRPr="00000000">
          <w:rPr>
            <w:rFonts w:ascii="Times New Roman" w:cs="Times New Roman" w:eastAsia="Times New Roman" w:hAnsi="Times New Roman"/>
            <w:color w:val="1155cc"/>
            <w:sz w:val="24"/>
            <w:szCs w:val="24"/>
            <w:u w:val="single"/>
            <w:rtl w:val="0"/>
          </w:rPr>
          <w:t xml:space="preserve">https://doi.org/10.1080/08037051.2024.2339434</w:t>
        </w:r>
      </w:hyperlink>
      <w:r w:rsidDel="00000000" w:rsidR="00000000" w:rsidRPr="00000000">
        <w:rPr>
          <w:rtl w:val="0"/>
        </w:rPr>
      </w:r>
    </w:p>
    <w:p w:rsidR="00000000" w:rsidDel="00000000" w:rsidP="00000000" w:rsidRDefault="00000000" w:rsidRPr="00000000" w14:paraId="000002A3">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Musinguzi, G., Anthierens, S., Nuwaha, F., Van Geertruyden, J.-P., Wanyenze, R. K., &amp; Bastiaens, H. (2018). Factors Influencing Compliance and Health Seeking Behaviour for Hypertension in Mukono and Buikwe in Uganda: A Qualitative Study. </w:t>
      </w:r>
      <w:r w:rsidDel="00000000" w:rsidR="00000000" w:rsidRPr="00000000">
        <w:rPr>
          <w:rFonts w:ascii="Times New Roman" w:cs="Times New Roman" w:eastAsia="Times New Roman" w:hAnsi="Times New Roman"/>
          <w:i w:val="1"/>
          <w:sz w:val="24"/>
          <w:szCs w:val="24"/>
          <w:rtl w:val="0"/>
        </w:rPr>
        <w:t xml:space="preserve">International Journal of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2018</w:t>
      </w:r>
      <w:r w:rsidDel="00000000" w:rsidR="00000000" w:rsidRPr="00000000">
        <w:rPr>
          <w:rFonts w:ascii="Times New Roman" w:cs="Times New Roman" w:eastAsia="Times New Roman" w:hAnsi="Times New Roman"/>
          <w:sz w:val="24"/>
          <w:szCs w:val="24"/>
          <w:rtl w:val="0"/>
        </w:rPr>
        <w:t xml:space="preserve">, 1–13. </w:t>
      </w:r>
      <w:hyperlink r:id="rId46">
        <w:r w:rsidDel="00000000" w:rsidR="00000000" w:rsidRPr="00000000">
          <w:rPr>
            <w:rFonts w:ascii="Times New Roman" w:cs="Times New Roman" w:eastAsia="Times New Roman" w:hAnsi="Times New Roman"/>
            <w:color w:val="1155cc"/>
            <w:sz w:val="24"/>
            <w:szCs w:val="24"/>
            <w:u w:val="single"/>
            <w:rtl w:val="0"/>
          </w:rPr>
          <w:t xml:space="preserve">https://doi.org/10.1155/2018/8307591</w:t>
        </w:r>
      </w:hyperlink>
      <w:r w:rsidDel="00000000" w:rsidR="00000000" w:rsidRPr="00000000">
        <w:rPr>
          <w:rtl w:val="0"/>
        </w:rPr>
      </w:r>
    </w:p>
    <w:p w:rsidR="00000000" w:rsidDel="00000000" w:rsidP="00000000" w:rsidRDefault="00000000" w:rsidRPr="00000000" w14:paraId="000002A4">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 National Heart, Lung, and Blood Institute. (2024). </w:t>
      </w:r>
      <w:r w:rsidDel="00000000" w:rsidR="00000000" w:rsidRPr="00000000">
        <w:rPr>
          <w:rFonts w:ascii="Times New Roman" w:cs="Times New Roman" w:eastAsia="Times New Roman" w:hAnsi="Times New Roman"/>
          <w:i w:val="1"/>
          <w:sz w:val="24"/>
          <w:szCs w:val="24"/>
          <w:rtl w:val="0"/>
        </w:rPr>
        <w:t xml:space="preserve">High blood pressure - causes and risk factors</w:t>
      </w:r>
      <w:r w:rsidDel="00000000" w:rsidR="00000000" w:rsidRPr="00000000">
        <w:rPr>
          <w:rFonts w:ascii="Times New Roman" w:cs="Times New Roman" w:eastAsia="Times New Roman" w:hAnsi="Times New Roman"/>
          <w:sz w:val="24"/>
          <w:szCs w:val="24"/>
          <w:rtl w:val="0"/>
        </w:rPr>
        <w:t xml:space="preserve">. National Heart, Lung, and Blood Institute. https://www.nhlbi.nih.gov/health/high-blood-pressure/causes</w:t>
      </w:r>
    </w:p>
    <w:p w:rsidR="00000000" w:rsidDel="00000000" w:rsidP="00000000" w:rsidRDefault="00000000" w:rsidRPr="00000000" w14:paraId="000002A5">
      <w:pPr>
        <w:spacing w:line="276" w:lineRule="auto"/>
        <w:ind w:left="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NHS. (2024, July 22). </w:t>
      </w:r>
      <w:r w:rsidDel="00000000" w:rsidR="00000000" w:rsidRPr="00000000">
        <w:rPr>
          <w:rFonts w:ascii="Times New Roman" w:cs="Times New Roman" w:eastAsia="Times New Roman" w:hAnsi="Times New Roman"/>
          <w:i w:val="1"/>
          <w:sz w:val="24"/>
          <w:szCs w:val="24"/>
          <w:rtl w:val="0"/>
        </w:rPr>
        <w:t xml:space="preserve">High blood pressure</w:t>
      </w:r>
      <w:r w:rsidDel="00000000" w:rsidR="00000000" w:rsidRPr="00000000">
        <w:rPr>
          <w:rFonts w:ascii="Times New Roman" w:cs="Times New Roman" w:eastAsia="Times New Roman" w:hAnsi="Times New Roman"/>
          <w:sz w:val="24"/>
          <w:szCs w:val="24"/>
          <w:rtl w:val="0"/>
        </w:rPr>
        <w:t xml:space="preserve">. Nhs.uk. </w:t>
      </w:r>
      <w:hyperlink r:id="rId47">
        <w:r w:rsidDel="00000000" w:rsidR="00000000" w:rsidRPr="00000000">
          <w:rPr>
            <w:rFonts w:ascii="Times New Roman" w:cs="Times New Roman" w:eastAsia="Times New Roman" w:hAnsi="Times New Roman"/>
            <w:color w:val="1155cc"/>
            <w:sz w:val="24"/>
            <w:szCs w:val="24"/>
            <w:u w:val="single"/>
            <w:rtl w:val="0"/>
          </w:rPr>
          <w:t xml:space="preserve">https://www.nhs.uk/conditions/high-blood-pressure/</w:t>
        </w:r>
      </w:hyperlink>
      <w:r w:rsidDel="00000000" w:rsidR="00000000" w:rsidRPr="00000000">
        <w:rPr>
          <w:rtl w:val="0"/>
        </w:rPr>
      </w:r>
    </w:p>
    <w:p w:rsidR="00000000" w:rsidDel="00000000" w:rsidP="00000000" w:rsidRDefault="00000000" w:rsidRPr="00000000" w14:paraId="000002A6">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 Nielsen, J. Ø., Shrestha, A. D., Neupane, D., &amp; Kallestrup, P. (2016). Non-adherence to anti-hypertensive medication in low- and middle-income countries: a systematic review and meta-analysis of 92443 subjects. </w:t>
      </w:r>
      <w:r w:rsidDel="00000000" w:rsidR="00000000" w:rsidRPr="00000000">
        <w:rPr>
          <w:rFonts w:ascii="Times New Roman" w:cs="Times New Roman" w:eastAsia="Times New Roman" w:hAnsi="Times New Roman"/>
          <w:i w:val="1"/>
          <w:sz w:val="24"/>
          <w:szCs w:val="24"/>
          <w:rtl w:val="0"/>
        </w:rPr>
        <w:t xml:space="preserve">Journal of Human Hypertension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31</w:t>
      </w:r>
      <w:r w:rsidDel="00000000" w:rsidR="00000000" w:rsidRPr="00000000">
        <w:rPr>
          <w:rFonts w:ascii="Times New Roman" w:cs="Times New Roman" w:eastAsia="Times New Roman" w:hAnsi="Times New Roman"/>
          <w:sz w:val="24"/>
          <w:szCs w:val="24"/>
          <w:rtl w:val="0"/>
        </w:rPr>
        <w:t xml:space="preserve">(1), 14–21. </w:t>
      </w:r>
      <w:hyperlink r:id="rId48">
        <w:r w:rsidDel="00000000" w:rsidR="00000000" w:rsidRPr="00000000">
          <w:rPr>
            <w:rFonts w:ascii="Times New Roman" w:cs="Times New Roman" w:eastAsia="Times New Roman" w:hAnsi="Times New Roman"/>
            <w:color w:val="1155cc"/>
            <w:sz w:val="24"/>
            <w:szCs w:val="24"/>
            <w:u w:val="single"/>
            <w:rtl w:val="0"/>
          </w:rPr>
          <w:t xml:space="preserve">https://doi.org/10.1038/jhh.2016.31</w:t>
        </w:r>
      </w:hyperlink>
      <w:r w:rsidDel="00000000" w:rsidR="00000000" w:rsidRPr="00000000">
        <w:rPr>
          <w:rtl w:val="0"/>
        </w:rPr>
      </w:r>
    </w:p>
    <w:p w:rsidR="00000000" w:rsidDel="00000000" w:rsidP="00000000" w:rsidRDefault="00000000" w:rsidRPr="00000000" w14:paraId="000002A7">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 Rahmawati, R., &amp; Bajorek, B. (2017). Factors affecting self-reported medication adherence and hypertension knowledge: A cross-sectional study in rural villages, Yogyakarta Province, Indonesia. </w:t>
      </w:r>
      <w:r w:rsidDel="00000000" w:rsidR="00000000" w:rsidRPr="00000000">
        <w:rPr>
          <w:rFonts w:ascii="Times New Roman" w:cs="Times New Roman" w:eastAsia="Times New Roman" w:hAnsi="Times New Roman"/>
          <w:i w:val="1"/>
          <w:sz w:val="24"/>
          <w:szCs w:val="24"/>
          <w:rtl w:val="0"/>
        </w:rPr>
        <w:t xml:space="preserve">Chronic Illness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14</w:t>
      </w:r>
      <w:r w:rsidDel="00000000" w:rsidR="00000000" w:rsidRPr="00000000">
        <w:rPr>
          <w:rFonts w:ascii="Times New Roman" w:cs="Times New Roman" w:eastAsia="Times New Roman" w:hAnsi="Times New Roman"/>
          <w:sz w:val="24"/>
          <w:szCs w:val="24"/>
          <w:rtl w:val="0"/>
        </w:rPr>
        <w:t xml:space="preserve">(3), 212–227. </w:t>
      </w:r>
      <w:hyperlink r:id="rId49">
        <w:r w:rsidDel="00000000" w:rsidR="00000000" w:rsidRPr="00000000">
          <w:rPr>
            <w:rFonts w:ascii="Times New Roman" w:cs="Times New Roman" w:eastAsia="Times New Roman" w:hAnsi="Times New Roman"/>
            <w:color w:val="1155cc"/>
            <w:sz w:val="24"/>
            <w:szCs w:val="24"/>
            <w:u w:val="single"/>
            <w:rtl w:val="0"/>
          </w:rPr>
          <w:t xml:space="preserve">https://doi.org/10.1177/1742395317739092</w:t>
        </w:r>
      </w:hyperlink>
      <w:r w:rsidDel="00000000" w:rsidR="00000000" w:rsidRPr="00000000">
        <w:rPr>
          <w:rtl w:val="0"/>
        </w:rPr>
      </w:r>
    </w:p>
    <w:p w:rsidR="00000000" w:rsidDel="00000000" w:rsidP="00000000" w:rsidRDefault="00000000" w:rsidRPr="00000000" w14:paraId="000002A8">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 Rashid, A., Daba Ejara, &amp; Haji Aman Deybasso. (2024). Adherence to antihypertensive medications and associated factors in patients with hypertension, Oromia, Ethiopia: a multicenter study. </w:t>
      </w:r>
      <w:r w:rsidDel="00000000" w:rsidR="00000000" w:rsidRPr="00000000">
        <w:rPr>
          <w:rFonts w:ascii="Times New Roman" w:cs="Times New Roman" w:eastAsia="Times New Roman" w:hAnsi="Times New Roman"/>
          <w:i w:val="1"/>
          <w:sz w:val="24"/>
          <w:szCs w:val="24"/>
          <w:rtl w:val="0"/>
        </w:rPr>
        <w:t xml:space="preserve">Scientific Reports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14</w:t>
      </w:r>
      <w:r w:rsidDel="00000000" w:rsidR="00000000" w:rsidRPr="00000000">
        <w:rPr>
          <w:rFonts w:ascii="Times New Roman" w:cs="Times New Roman" w:eastAsia="Times New Roman" w:hAnsi="Times New Roman"/>
          <w:sz w:val="24"/>
          <w:szCs w:val="24"/>
          <w:rtl w:val="0"/>
        </w:rPr>
        <w:t xml:space="preserve">(1). </w:t>
      </w:r>
      <w:hyperlink r:id="rId50">
        <w:r w:rsidDel="00000000" w:rsidR="00000000" w:rsidRPr="00000000">
          <w:rPr>
            <w:rFonts w:ascii="Times New Roman" w:cs="Times New Roman" w:eastAsia="Times New Roman" w:hAnsi="Times New Roman"/>
            <w:color w:val="1155cc"/>
            <w:sz w:val="24"/>
            <w:szCs w:val="24"/>
            <w:u w:val="single"/>
            <w:rtl w:val="0"/>
          </w:rPr>
          <w:t xml:space="preserve">https://doi.org/10.1038/s41598-024-80086-x</w:t>
        </w:r>
      </w:hyperlink>
      <w:r w:rsidDel="00000000" w:rsidR="00000000" w:rsidRPr="00000000">
        <w:rPr>
          <w:rtl w:val="0"/>
        </w:rPr>
      </w:r>
    </w:p>
    <w:p w:rsidR="00000000" w:rsidDel="00000000" w:rsidP="00000000" w:rsidRDefault="00000000" w:rsidRPr="00000000" w14:paraId="000002A9">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 Rasul, F. B., Sarker, M., Yasmin, F., &amp; De Allegri, M. (2022). Exploring health-seeking behavior for non-communicable chronic conditions in northern Bangladesh. </w:t>
      </w:r>
      <w:r w:rsidDel="00000000" w:rsidR="00000000" w:rsidRPr="00000000">
        <w:rPr>
          <w:rFonts w:ascii="Times New Roman" w:cs="Times New Roman" w:eastAsia="Times New Roman" w:hAnsi="Times New Roman"/>
          <w:i w:val="1"/>
          <w:sz w:val="24"/>
          <w:szCs w:val="24"/>
          <w:rtl w:val="0"/>
        </w:rPr>
        <w:t xml:space="preserve">PLOS Global Public Health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(6), e0000497. </w:t>
      </w:r>
      <w:hyperlink r:id="rId51">
        <w:r w:rsidDel="00000000" w:rsidR="00000000" w:rsidRPr="00000000">
          <w:rPr>
            <w:rFonts w:ascii="Times New Roman" w:cs="Times New Roman" w:eastAsia="Times New Roman" w:hAnsi="Times New Roman"/>
            <w:color w:val="1155cc"/>
            <w:sz w:val="24"/>
            <w:szCs w:val="24"/>
            <w:u w:val="single"/>
            <w:rtl w:val="0"/>
          </w:rPr>
          <w:t xml:space="preserve">https://doi.org/10.1371/journal.pgph.0000497</w:t>
        </w:r>
      </w:hyperlink>
      <w:r w:rsidDel="00000000" w:rsidR="00000000" w:rsidRPr="00000000">
        <w:rPr>
          <w:rtl w:val="0"/>
        </w:rPr>
      </w:r>
    </w:p>
    <w:p w:rsidR="00000000" w:rsidDel="00000000" w:rsidP="00000000" w:rsidRDefault="00000000" w:rsidRPr="00000000" w14:paraId="000002AA">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 Samanic, C. M., Barbour, K. E., Liu, Y., Wang, Y., Fang, J., Lu, H., Schieb, L., &amp; Greenlund, K. J. (2020). Prevalence of Self-Reported Hypertension and Antihypertensive Medication Use by County and Rural-Urban Classification — United States, 2017. </w:t>
      </w:r>
      <w:r w:rsidDel="00000000" w:rsidR="00000000" w:rsidRPr="00000000">
        <w:rPr>
          <w:rFonts w:ascii="Times New Roman" w:cs="Times New Roman" w:eastAsia="Times New Roman" w:hAnsi="Times New Roman"/>
          <w:i w:val="1"/>
          <w:sz w:val="24"/>
          <w:szCs w:val="24"/>
          <w:rtl w:val="0"/>
        </w:rPr>
        <w:t xml:space="preserve">MMWR. Morbidity and Mortality Weekly Report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69</w:t>
      </w:r>
      <w:r w:rsidDel="00000000" w:rsidR="00000000" w:rsidRPr="00000000">
        <w:rPr>
          <w:rFonts w:ascii="Times New Roman" w:cs="Times New Roman" w:eastAsia="Times New Roman" w:hAnsi="Times New Roman"/>
          <w:sz w:val="24"/>
          <w:szCs w:val="24"/>
          <w:rtl w:val="0"/>
        </w:rPr>
        <w:t xml:space="preserve">(18), 533–539. </w:t>
      </w:r>
      <w:hyperlink r:id="rId52">
        <w:r w:rsidDel="00000000" w:rsidR="00000000" w:rsidRPr="00000000">
          <w:rPr>
            <w:rFonts w:ascii="Times New Roman" w:cs="Times New Roman" w:eastAsia="Times New Roman" w:hAnsi="Times New Roman"/>
            <w:color w:val="1155cc"/>
            <w:sz w:val="24"/>
            <w:szCs w:val="24"/>
            <w:u w:val="single"/>
            <w:rtl w:val="0"/>
          </w:rPr>
          <w:t xml:space="preserve">https://doi.org/10.15585/mmwr.mm6918a1</w:t>
        </w:r>
      </w:hyperlink>
      <w:r w:rsidDel="00000000" w:rsidR="00000000" w:rsidRPr="00000000">
        <w:rPr>
          <w:rtl w:val="0"/>
        </w:rPr>
      </w:r>
    </w:p>
    <w:p w:rsidR="00000000" w:rsidDel="00000000" w:rsidP="00000000" w:rsidRDefault="00000000" w:rsidRPr="00000000" w14:paraId="000002AB">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 Sarika, M. (2021). Gender difference in medication adherence among hypertensive patients in Odisha. </w:t>
      </w:r>
      <w:r w:rsidDel="00000000" w:rsidR="00000000" w:rsidRPr="00000000">
        <w:rPr>
          <w:rFonts w:ascii="Times New Roman" w:cs="Times New Roman" w:eastAsia="Times New Roman" w:hAnsi="Times New Roman"/>
          <w:i w:val="1"/>
          <w:sz w:val="24"/>
          <w:szCs w:val="24"/>
          <w:rtl w:val="0"/>
        </w:rPr>
        <w:t xml:space="preserve">The Journal of Medical Research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7</w:t>
      </w:r>
      <w:r w:rsidDel="00000000" w:rsidR="00000000" w:rsidRPr="00000000">
        <w:rPr>
          <w:rFonts w:ascii="Times New Roman" w:cs="Times New Roman" w:eastAsia="Times New Roman" w:hAnsi="Times New Roman"/>
          <w:sz w:val="24"/>
          <w:szCs w:val="24"/>
          <w:rtl w:val="0"/>
        </w:rPr>
        <w:t xml:space="preserve">(2), 33–35. </w:t>
      </w:r>
      <w:hyperlink r:id="rId53">
        <w:r w:rsidDel="00000000" w:rsidR="00000000" w:rsidRPr="00000000">
          <w:rPr>
            <w:rFonts w:ascii="Times New Roman" w:cs="Times New Roman" w:eastAsia="Times New Roman" w:hAnsi="Times New Roman"/>
            <w:color w:val="1155cc"/>
            <w:sz w:val="24"/>
            <w:szCs w:val="24"/>
            <w:u w:val="single"/>
            <w:rtl w:val="0"/>
          </w:rPr>
          <w:t xml:space="preserve">https://www.medicinearticle.com/JMR_20212_02.pdf</w:t>
        </w:r>
      </w:hyperlink>
      <w:r w:rsidDel="00000000" w:rsidR="00000000" w:rsidRPr="00000000">
        <w:rPr>
          <w:rtl w:val="0"/>
        </w:rPr>
      </w:r>
    </w:p>
    <w:p w:rsidR="00000000" w:rsidDel="00000000" w:rsidP="00000000" w:rsidRDefault="00000000" w:rsidRPr="00000000" w14:paraId="000002AC">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[40]Serván-Mori, E., Islam, M. D., Kaplan, W. A., Thrasher, R., &amp; Wirtz, V. J. (2022). Out-of-pocket expenditure on medicines in Bangladesh: An analysis of the national household income and expenditure survey 2016–17. </w:t>
      </w:r>
      <w:r w:rsidDel="00000000" w:rsidR="00000000" w:rsidRPr="00000000">
        <w:rPr>
          <w:rFonts w:ascii="Times New Roman" w:cs="Times New Roman" w:eastAsia="Times New Roman" w:hAnsi="Times New Roman"/>
          <w:i w:val="1"/>
          <w:sz w:val="24"/>
          <w:szCs w:val="24"/>
          <w:rtl w:val="0"/>
        </w:rPr>
        <w:t xml:space="preserve">PLOS ONE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17</w:t>
      </w:r>
      <w:r w:rsidDel="00000000" w:rsidR="00000000" w:rsidRPr="00000000">
        <w:rPr>
          <w:rFonts w:ascii="Times New Roman" w:cs="Times New Roman" w:eastAsia="Times New Roman" w:hAnsi="Times New Roman"/>
          <w:sz w:val="24"/>
          <w:szCs w:val="24"/>
          <w:rtl w:val="0"/>
        </w:rPr>
        <w:t xml:space="preserve">(9), e0274671. </w:t>
      </w:r>
      <w:hyperlink r:id="rId54">
        <w:r w:rsidDel="00000000" w:rsidR="00000000" w:rsidRPr="00000000">
          <w:rPr>
            <w:rFonts w:ascii="Times New Roman" w:cs="Times New Roman" w:eastAsia="Times New Roman" w:hAnsi="Times New Roman"/>
            <w:color w:val="1155cc"/>
            <w:sz w:val="24"/>
            <w:szCs w:val="24"/>
            <w:u w:val="single"/>
            <w:rtl w:val="0"/>
          </w:rPr>
          <w:t xml:space="preserve">https://doi.org/10.1371/journal.pone.0274671</w:t>
        </w:r>
      </w:hyperlink>
      <w:r w:rsidDel="00000000" w:rsidR="00000000" w:rsidRPr="00000000">
        <w:rPr>
          <w:rtl w:val="0"/>
        </w:rPr>
      </w:r>
    </w:p>
    <w:p w:rsidR="00000000" w:rsidDel="00000000" w:rsidP="00000000" w:rsidRDefault="00000000" w:rsidRPr="00000000" w14:paraId="000002AD">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 Siegel, K. R., Patel, S. A., &amp; Ali, M. K. (2014). Non-communicable diseases in South Asia: contemporary perspectives. </w:t>
      </w:r>
      <w:r w:rsidDel="00000000" w:rsidR="00000000" w:rsidRPr="00000000">
        <w:rPr>
          <w:rFonts w:ascii="Times New Roman" w:cs="Times New Roman" w:eastAsia="Times New Roman" w:hAnsi="Times New Roman"/>
          <w:i w:val="1"/>
          <w:sz w:val="24"/>
          <w:szCs w:val="24"/>
          <w:rtl w:val="0"/>
        </w:rPr>
        <w:t xml:space="preserve">British Medical Bulletin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111</w:t>
      </w:r>
      <w:r w:rsidDel="00000000" w:rsidR="00000000" w:rsidRPr="00000000">
        <w:rPr>
          <w:rFonts w:ascii="Times New Roman" w:cs="Times New Roman" w:eastAsia="Times New Roman" w:hAnsi="Times New Roman"/>
          <w:sz w:val="24"/>
          <w:szCs w:val="24"/>
          <w:rtl w:val="0"/>
        </w:rPr>
        <w:t xml:space="preserve">(1), 31–44. </w:t>
      </w:r>
      <w:hyperlink r:id="rId55">
        <w:r w:rsidDel="00000000" w:rsidR="00000000" w:rsidRPr="00000000">
          <w:rPr>
            <w:rFonts w:ascii="Times New Roman" w:cs="Times New Roman" w:eastAsia="Times New Roman" w:hAnsi="Times New Roman"/>
            <w:color w:val="1155cc"/>
            <w:sz w:val="24"/>
            <w:szCs w:val="24"/>
            <w:u w:val="single"/>
            <w:rtl w:val="0"/>
          </w:rPr>
          <w:t xml:space="preserve">https://doi.org/10.1093/bmb/ldu018</w:t>
        </w:r>
      </w:hyperlink>
      <w:r w:rsidDel="00000000" w:rsidR="00000000" w:rsidRPr="00000000">
        <w:rPr>
          <w:rtl w:val="0"/>
        </w:rPr>
      </w:r>
    </w:p>
    <w:p w:rsidR="00000000" w:rsidDel="00000000" w:rsidP="00000000" w:rsidRDefault="00000000" w:rsidRPr="00000000" w14:paraId="000002AE">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 Sun, K., Lin, D., Li, M., Mu, Y., Zhao, J., Liu, C., &amp; Bi, Y. (2016). </w:t>
      </w:r>
      <w:r w:rsidDel="00000000" w:rsidR="00000000" w:rsidRPr="00000000">
        <w:rPr>
          <w:rFonts w:ascii="Times New Roman" w:cs="Times New Roman" w:eastAsia="Times New Roman" w:hAnsi="Times New Roman"/>
          <w:i w:val="1"/>
          <w:sz w:val="24"/>
          <w:szCs w:val="24"/>
          <w:rtl w:val="0"/>
        </w:rPr>
        <w:t xml:space="preserve">Association of education levels with the risk of hypertension and hypertension control: a nationwide cohort study in Chinese adults </w:t>
      </w:r>
      <w:r w:rsidDel="00000000" w:rsidR="00000000" w:rsidRPr="00000000">
        <w:rPr>
          <w:rFonts w:ascii="Times New Roman" w:cs="Times New Roman" w:eastAsia="Times New Roman" w:hAnsi="Times New Roman"/>
          <w:sz w:val="24"/>
          <w:szCs w:val="24"/>
          <w:rtl w:val="0"/>
        </w:rPr>
        <w:t xml:space="preserve">. Bmj.com. </w:t>
      </w:r>
      <w:hyperlink r:id="rId56">
        <w:r w:rsidDel="00000000" w:rsidR="00000000" w:rsidRPr="00000000">
          <w:rPr>
            <w:rFonts w:ascii="Times New Roman" w:cs="Times New Roman" w:eastAsia="Times New Roman" w:hAnsi="Times New Roman"/>
            <w:color w:val="1155cc"/>
            <w:sz w:val="24"/>
            <w:szCs w:val="24"/>
            <w:u w:val="single"/>
            <w:rtl w:val="0"/>
          </w:rPr>
          <w:t xml:space="preserve">https://jech.bmj.com/content/76/5/451</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AF">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 Thomas, L. (2024, February 29). </w:t>
      </w:r>
      <w:r w:rsidDel="00000000" w:rsidR="00000000" w:rsidRPr="00000000">
        <w:rPr>
          <w:rFonts w:ascii="Times New Roman" w:cs="Times New Roman" w:eastAsia="Times New Roman" w:hAnsi="Times New Roman"/>
          <w:i w:val="1"/>
          <w:sz w:val="24"/>
          <w:szCs w:val="24"/>
          <w:rtl w:val="0"/>
        </w:rPr>
        <w:t xml:space="preserve">High blood pressure (hypertension) </w:t>
      </w:r>
      <w:r w:rsidDel="00000000" w:rsidR="00000000" w:rsidRPr="00000000">
        <w:rPr>
          <w:rFonts w:ascii="Times New Roman" w:cs="Times New Roman" w:eastAsia="Times New Roman" w:hAnsi="Times New Roman"/>
          <w:sz w:val="24"/>
          <w:szCs w:val="24"/>
          <w:rtl w:val="0"/>
        </w:rPr>
        <w:t xml:space="preserve">. Mayo Clinic. </w:t>
      </w:r>
      <w:hyperlink r:id="rId57">
        <w:r w:rsidDel="00000000" w:rsidR="00000000" w:rsidRPr="00000000">
          <w:rPr>
            <w:rFonts w:ascii="Times New Roman" w:cs="Times New Roman" w:eastAsia="Times New Roman" w:hAnsi="Times New Roman"/>
            <w:color w:val="1155cc"/>
            <w:sz w:val="24"/>
            <w:szCs w:val="24"/>
            <w:u w:val="single"/>
            <w:rtl w:val="0"/>
          </w:rPr>
          <w:t xml:space="preserve">https://www.mayoclinic.org/diseases-conditions/high-blood-pressure/symptoms-causes/syc-20373410</w:t>
        </w:r>
      </w:hyperlink>
      <w:r w:rsidDel="00000000" w:rsidR="00000000" w:rsidRPr="00000000">
        <w:rPr>
          <w:rtl w:val="0"/>
        </w:rPr>
      </w:r>
    </w:p>
    <w:p w:rsidR="00000000" w:rsidDel="00000000" w:rsidP="00000000" w:rsidRDefault="00000000" w:rsidRPr="00000000" w14:paraId="000002B0">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 Virk, A., Gupta, S., Mittal, A., &amp; Agarwal, B. (2020). Patterns and determinants of healthcare-seeking behavior among hypertensive patients in a rural population of north India: A mixed-method study. </w:t>
      </w:r>
      <w:r w:rsidDel="00000000" w:rsidR="00000000" w:rsidRPr="00000000">
        <w:rPr>
          <w:rFonts w:ascii="Times New Roman" w:cs="Times New Roman" w:eastAsia="Times New Roman" w:hAnsi="Times New Roman"/>
          <w:i w:val="1"/>
          <w:sz w:val="24"/>
          <w:szCs w:val="24"/>
          <w:rtl w:val="0"/>
        </w:rPr>
        <w:t xml:space="preserve">Journal of Family Medicine and Primary Care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w:t>
      </w:r>
      <w:r w:rsidDel="00000000" w:rsidR="00000000" w:rsidRPr="00000000">
        <w:rPr>
          <w:rFonts w:ascii="Times New Roman" w:cs="Times New Roman" w:eastAsia="Times New Roman" w:hAnsi="Times New Roman"/>
          <w:sz w:val="24"/>
          <w:szCs w:val="24"/>
          <w:rtl w:val="0"/>
        </w:rPr>
        <w:t xml:space="preserve">(6), 2830. </w:t>
      </w:r>
      <w:hyperlink r:id="rId58">
        <w:r w:rsidDel="00000000" w:rsidR="00000000" w:rsidRPr="00000000">
          <w:rPr>
            <w:rFonts w:ascii="Times New Roman" w:cs="Times New Roman" w:eastAsia="Times New Roman" w:hAnsi="Times New Roman"/>
            <w:color w:val="1155cc"/>
            <w:sz w:val="24"/>
            <w:szCs w:val="24"/>
            <w:u w:val="single"/>
            <w:rtl w:val="0"/>
          </w:rPr>
          <w:t xml:space="preserve">https://doi.org/10.4103/jfmpc.jfmpc_200_20</w:t>
        </w:r>
      </w:hyperlink>
      <w:r w:rsidDel="00000000" w:rsidR="00000000" w:rsidRPr="00000000">
        <w:rPr>
          <w:rtl w:val="0"/>
        </w:rPr>
      </w:r>
    </w:p>
    <w:p w:rsidR="00000000" w:rsidDel="00000000" w:rsidP="00000000" w:rsidRDefault="00000000" w:rsidRPr="00000000" w14:paraId="000002B1">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World Health Organization. (2003). </w:t>
      </w:r>
      <w:r w:rsidDel="00000000" w:rsidR="00000000" w:rsidRPr="00000000">
        <w:rPr>
          <w:rFonts w:ascii="Times New Roman" w:cs="Times New Roman" w:eastAsia="Times New Roman" w:hAnsi="Times New Roman"/>
          <w:i w:val="1"/>
          <w:sz w:val="24"/>
          <w:szCs w:val="24"/>
          <w:rtl w:val="0"/>
        </w:rPr>
        <w:t xml:space="preserve">Adherence to long-term therapies : evidence for action.</w:t>
      </w:r>
      <w:r w:rsidDel="00000000" w:rsidR="00000000" w:rsidRPr="00000000">
        <w:rPr>
          <w:rFonts w:ascii="Times New Roman" w:cs="Times New Roman" w:eastAsia="Times New Roman" w:hAnsi="Times New Roman"/>
          <w:sz w:val="24"/>
          <w:szCs w:val="24"/>
          <w:rtl w:val="0"/>
        </w:rPr>
        <w:t xml:space="preserve"> Geneva World Health Organization.</w:t>
      </w:r>
    </w:p>
    <w:p w:rsidR="00000000" w:rsidDel="00000000" w:rsidP="00000000" w:rsidRDefault="00000000" w:rsidRPr="00000000" w14:paraId="000002B2">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 World Health Organization. (2023). </w:t>
      </w:r>
      <w:r w:rsidDel="00000000" w:rsidR="00000000" w:rsidRPr="00000000">
        <w:rPr>
          <w:rFonts w:ascii="Times New Roman" w:cs="Times New Roman" w:eastAsia="Times New Roman" w:hAnsi="Times New Roman"/>
          <w:i w:val="1"/>
          <w:sz w:val="24"/>
          <w:szCs w:val="24"/>
          <w:rtl w:val="0"/>
        </w:rPr>
        <w:t xml:space="preserve">SDG Target 3.4 Non-communicable diseases and mental health</w:t>
      </w:r>
      <w:r w:rsidDel="00000000" w:rsidR="00000000" w:rsidRPr="00000000">
        <w:rPr>
          <w:rFonts w:ascii="Times New Roman" w:cs="Times New Roman" w:eastAsia="Times New Roman" w:hAnsi="Times New Roman"/>
          <w:sz w:val="24"/>
          <w:szCs w:val="24"/>
          <w:rtl w:val="0"/>
        </w:rPr>
        <w:t xml:space="preserve">. Www.who.int. </w:t>
      </w:r>
    </w:p>
    <w:p w:rsidR="00000000" w:rsidDel="00000000" w:rsidP="00000000" w:rsidRDefault="00000000" w:rsidRPr="00000000" w14:paraId="000002B3">
      <w:pPr>
        <w:spacing w:line="276" w:lineRule="auto"/>
        <w:ind w:left="0" w:firstLine="0"/>
        <w:jc w:val="both"/>
        <w:rPr>
          <w:rFonts w:ascii="Times New Roman" w:cs="Times New Roman" w:eastAsia="Times New Roman" w:hAnsi="Times New Roman"/>
          <w:sz w:val="24"/>
          <w:szCs w:val="24"/>
        </w:rPr>
      </w:pPr>
      <w:hyperlink r:id="rId59">
        <w:r w:rsidDel="00000000" w:rsidR="00000000" w:rsidRPr="00000000">
          <w:rPr>
            <w:rFonts w:ascii="Times New Roman" w:cs="Times New Roman" w:eastAsia="Times New Roman" w:hAnsi="Times New Roman"/>
            <w:color w:val="1155cc"/>
            <w:sz w:val="24"/>
            <w:szCs w:val="24"/>
            <w:u w:val="single"/>
            <w:rtl w:val="0"/>
          </w:rPr>
          <w:t xml:space="preserve">https://www.who.int/data/gho/data/themes/topics/sdg-target-3_4-noncommunicable-diseases-and-mental-health</w:t>
        </w:r>
      </w:hyperlink>
      <w:r w:rsidDel="00000000" w:rsidR="00000000" w:rsidRPr="00000000">
        <w:rPr>
          <w:rtl w:val="0"/>
        </w:rPr>
      </w:r>
    </w:p>
    <w:p w:rsidR="00000000" w:rsidDel="00000000" w:rsidP="00000000" w:rsidRDefault="00000000" w:rsidRPr="00000000" w14:paraId="000002B4">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 World Health Organization. (2024, December 23). </w:t>
      </w:r>
      <w:r w:rsidDel="00000000" w:rsidR="00000000" w:rsidRPr="00000000">
        <w:rPr>
          <w:rFonts w:ascii="Times New Roman" w:cs="Times New Roman" w:eastAsia="Times New Roman" w:hAnsi="Times New Roman"/>
          <w:i w:val="1"/>
          <w:sz w:val="24"/>
          <w:szCs w:val="24"/>
          <w:rtl w:val="0"/>
        </w:rPr>
        <w:t xml:space="preserve">Noncommunicable Diseases</w:t>
      </w:r>
      <w:r w:rsidDel="00000000" w:rsidR="00000000" w:rsidRPr="00000000">
        <w:rPr>
          <w:rFonts w:ascii="Times New Roman" w:cs="Times New Roman" w:eastAsia="Times New Roman" w:hAnsi="Times New Roman"/>
          <w:sz w:val="24"/>
          <w:szCs w:val="24"/>
          <w:rtl w:val="0"/>
        </w:rPr>
        <w:t xml:space="preserve">. World Health Organization. </w:t>
      </w:r>
      <w:hyperlink r:id="rId60">
        <w:r w:rsidDel="00000000" w:rsidR="00000000" w:rsidRPr="00000000">
          <w:rPr>
            <w:rFonts w:ascii="Times New Roman" w:cs="Times New Roman" w:eastAsia="Times New Roman" w:hAnsi="Times New Roman"/>
            <w:color w:val="1155cc"/>
            <w:sz w:val="24"/>
            <w:szCs w:val="24"/>
            <w:u w:val="single"/>
            <w:rtl w:val="0"/>
          </w:rPr>
          <w:t xml:space="preserve">https://www.who.int/news-room/fact-sheets/detail/noncommunicable-diseases</w:t>
        </w:r>
      </w:hyperlink>
      <w:r w:rsidDel="00000000" w:rsidR="00000000" w:rsidRPr="00000000">
        <w:rPr>
          <w:rtl w:val="0"/>
        </w:rPr>
      </w:r>
    </w:p>
    <w:p w:rsidR="00000000" w:rsidDel="00000000" w:rsidP="00000000" w:rsidRDefault="00000000" w:rsidRPr="00000000" w14:paraId="000002B5">
      <w:pPr>
        <w:spacing w:line="276"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 Zhou, B., Danaei, G., Stevens, G. A., Bixby, H., Taddei, C., Carrillo-Larco, R. M., Solomon, B., Riley, L. M., Di Cesare, M., Iurilli, M. L. C., Rodriguez-Martinez, A., Zhu, A., Hajifathalian, K., Amuzu, A., Banegas, J. R., Bennett, J. E., Cameron, C., Cho, Y., Clarke, J., &amp; Craig, C. L. (2019). Long-term and recent trends in hypertension awareness, treatment, and control in 12 high-income countries: an analysis of 123 nationally representative surveys. </w:t>
      </w:r>
      <w:r w:rsidDel="00000000" w:rsidR="00000000" w:rsidRPr="00000000">
        <w:rPr>
          <w:rFonts w:ascii="Times New Roman" w:cs="Times New Roman" w:eastAsia="Times New Roman" w:hAnsi="Times New Roman"/>
          <w:i w:val="1"/>
          <w:sz w:val="24"/>
          <w:szCs w:val="24"/>
          <w:rtl w:val="0"/>
        </w:rPr>
        <w:t xml:space="preserve">The Lancet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394</w:t>
      </w:r>
      <w:r w:rsidDel="00000000" w:rsidR="00000000" w:rsidRPr="00000000">
        <w:rPr>
          <w:rFonts w:ascii="Times New Roman" w:cs="Times New Roman" w:eastAsia="Times New Roman" w:hAnsi="Times New Roman"/>
          <w:sz w:val="24"/>
          <w:szCs w:val="24"/>
          <w:rtl w:val="0"/>
        </w:rPr>
        <w:t xml:space="preserve">(10199), 639–651. </w:t>
      </w:r>
      <w:hyperlink r:id="rId61">
        <w:r w:rsidDel="00000000" w:rsidR="00000000" w:rsidRPr="00000000">
          <w:rPr>
            <w:rFonts w:ascii="Times New Roman" w:cs="Times New Roman" w:eastAsia="Times New Roman" w:hAnsi="Times New Roman"/>
            <w:color w:val="1155cc"/>
            <w:sz w:val="24"/>
            <w:szCs w:val="24"/>
            <w:u w:val="single"/>
            <w:rtl w:val="0"/>
          </w:rPr>
          <w:t xml:space="preserve">https://doi.org/10.1016/s0140-6736(19)31145-6</w:t>
        </w:r>
      </w:hyperlink>
      <w:r w:rsidDel="00000000" w:rsidR="00000000" w:rsidRPr="00000000">
        <w:rPr>
          <w:rtl w:val="0"/>
        </w:rPr>
      </w:r>
    </w:p>
    <w:p w:rsidR="00000000" w:rsidDel="00000000" w:rsidP="00000000" w:rsidRDefault="00000000" w:rsidRPr="00000000" w14:paraId="000002B6">
      <w:pPr>
        <w:spacing w:line="276"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7">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8">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9">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A">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B">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C">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D">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E">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F">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0">
      <w:pPr>
        <w:spacing w:line="360" w:lineRule="auto"/>
        <w:jc w:val="both"/>
        <w:rPr>
          <w:rFonts w:ascii="Times New Roman" w:cs="Times New Roman" w:eastAsia="Times New Roman" w:hAnsi="Times New Roman"/>
          <w:sz w:val="24"/>
          <w:szCs w:val="24"/>
        </w:rPr>
      </w:pPr>
      <w:r w:rsidDel="00000000" w:rsidR="00000000" w:rsidRPr="00000000">
        <w:rPr>
          <w:rtl w:val="0"/>
        </w:rPr>
      </w:r>
    </w:p>
    <w:sectPr>
      <w:headerReference r:id="rId62" w:type="default"/>
      <w:headerReference r:id="rId63" w:type="first"/>
      <w:footerReference r:id="rId64"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2">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1">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3">
    <w:pPr>
      <w:jc w:val="right"/>
      <w:rPr/>
    </w:pPr>
    <w:r w:rsidDel="00000000" w:rsidR="00000000" w:rsidRPr="00000000">
      <w:rPr>
        <w:rtl w:val="0"/>
      </w:rPr>
    </w:r>
  </w:p>
  <w:p w:rsidR="00000000" w:rsidDel="00000000" w:rsidP="00000000" w:rsidRDefault="00000000" w:rsidRPr="00000000" w14:paraId="000002C4">
    <w:pPr>
      <w:jc w:val="right"/>
      <w:rPr/>
    </w:pPr>
    <w:r w:rsidDel="00000000" w:rsidR="00000000" w:rsidRPr="00000000">
      <w:rPr>
        <w:rtl w:val="0"/>
      </w:rPr>
      <w:t xml:space="preserve"> </w:t>
    </w:r>
    <w:r w:rsidDel="00000000" w:rsidR="00000000" w:rsidRPr="00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C5">
    <w:pPr>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doi.org/10.1093/ajh/hpab070" TargetMode="External"/><Relationship Id="rId42" Type="http://schemas.openxmlformats.org/officeDocument/2006/relationships/hyperlink" Target="https://doi.org/10.1186/s12872-020-01741-5" TargetMode="External"/><Relationship Id="rId41" Type="http://schemas.openxmlformats.org/officeDocument/2006/relationships/hyperlink" Target="https://doi.org/10.1007/s11096-021-01236-z" TargetMode="External"/><Relationship Id="rId44" Type="http://schemas.openxmlformats.org/officeDocument/2006/relationships/hyperlink" Target="https://doi.org/10.1038/sj.jhh.1002046" TargetMode="External"/><Relationship Id="rId43" Type="http://schemas.openxmlformats.org/officeDocument/2006/relationships/hyperlink" Target="https://doi.org/10.1080/16549716.2021.1872895" TargetMode="External"/><Relationship Id="rId46" Type="http://schemas.openxmlformats.org/officeDocument/2006/relationships/hyperlink" Target="https://doi.org/10.1155/2018/8307591" TargetMode="External"/><Relationship Id="rId45" Type="http://schemas.openxmlformats.org/officeDocument/2006/relationships/hyperlink" Target="https://doi.org/10.1080/08037051.2024.2339434"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48" Type="http://schemas.openxmlformats.org/officeDocument/2006/relationships/hyperlink" Target="https://doi.org/10.1038/jhh.2016.31" TargetMode="External"/><Relationship Id="rId47" Type="http://schemas.openxmlformats.org/officeDocument/2006/relationships/hyperlink" Target="https://www.nhs.uk/conditions/high-blood-pressure/" TargetMode="External"/><Relationship Id="rId49" Type="http://schemas.openxmlformats.org/officeDocument/2006/relationships/hyperlink" Target="https://doi.org/10.1177/1742395317739092" TargetMode="Externa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7.png"/><Relationship Id="rId8" Type="http://schemas.openxmlformats.org/officeDocument/2006/relationships/hyperlink" Target="https://pubmed.ncbi.nlm.nih.gov/26051923/" TargetMode="External"/><Relationship Id="rId31" Type="http://schemas.openxmlformats.org/officeDocument/2006/relationships/hyperlink" Target="https://doi.org/10.1186/s12889-025-21409-z" TargetMode="External"/><Relationship Id="rId30" Type="http://schemas.openxmlformats.org/officeDocument/2006/relationships/hyperlink" Target="https://doi.org/10.1371/journal.pone.0000280" TargetMode="External"/><Relationship Id="rId33" Type="http://schemas.openxmlformats.org/officeDocument/2006/relationships/hyperlink" Target="https://doi.org/10.1186/s13104-017-2454-7" TargetMode="External"/><Relationship Id="rId32" Type="http://schemas.openxmlformats.org/officeDocument/2006/relationships/hyperlink" Target="https://doi.org/10.1136/bmjopen-2022-061467" TargetMode="External"/><Relationship Id="rId35" Type="http://schemas.openxmlformats.org/officeDocument/2006/relationships/hyperlink" Target="https://doi.org/10.15171/hpp.2020.11" TargetMode="External"/><Relationship Id="rId34" Type="http://schemas.openxmlformats.org/officeDocument/2006/relationships/hyperlink" Target="https://doi.org/10.1093/ajh/hpy071" TargetMode="External"/><Relationship Id="rId37" Type="http://schemas.openxmlformats.org/officeDocument/2006/relationships/hyperlink" Target="https://doi.org/10.1161/jaha.122.026582" TargetMode="External"/><Relationship Id="rId36" Type="http://schemas.openxmlformats.org/officeDocument/2006/relationships/hyperlink" Target="https://doi.org/10.1136/heartasia-2013-010408" TargetMode="External"/><Relationship Id="rId39" Type="http://schemas.openxmlformats.org/officeDocument/2006/relationships/hyperlink" Target="https://doi.org/10.1371/journal.pone.0219266" TargetMode="External"/><Relationship Id="rId38" Type="http://schemas.openxmlformats.org/officeDocument/2006/relationships/hyperlink" Target="https://doi.org/10.2147/ppa.s55382" TargetMode="External"/><Relationship Id="rId62" Type="http://schemas.openxmlformats.org/officeDocument/2006/relationships/header" Target="header2.xml"/><Relationship Id="rId61" Type="http://schemas.openxmlformats.org/officeDocument/2006/relationships/hyperlink" Target="https://doi.org/10.1016/s0140-6736(19)31145-6" TargetMode="External"/><Relationship Id="rId20" Type="http://schemas.openxmlformats.org/officeDocument/2006/relationships/hyperlink" Target="https://doi.org/10.1016/s2666-7568(23)00129-0" TargetMode="External"/><Relationship Id="rId64" Type="http://schemas.openxmlformats.org/officeDocument/2006/relationships/footer" Target="footer1.xml"/><Relationship Id="rId63" Type="http://schemas.openxmlformats.org/officeDocument/2006/relationships/header" Target="header1.xml"/><Relationship Id="rId22" Type="http://schemas.openxmlformats.org/officeDocument/2006/relationships/hyperlink" Target="https://doi.org/10.4236/ojepi.2017.73018" TargetMode="External"/><Relationship Id="rId21" Type="http://schemas.openxmlformats.org/officeDocument/2006/relationships/hyperlink" Target="https://doi.org/10.1186/s40885-020-00143-1" TargetMode="External"/><Relationship Id="rId24" Type="http://schemas.openxmlformats.org/officeDocument/2006/relationships/hyperlink" Target="https://doi.org/10.1016/s0140-6736(15)00128-2" TargetMode="External"/><Relationship Id="rId23" Type="http://schemas.openxmlformats.org/officeDocument/2006/relationships/hyperlink" Target="https://doi.org/10.5334/gh.1416" TargetMode="External"/><Relationship Id="rId60" Type="http://schemas.openxmlformats.org/officeDocument/2006/relationships/hyperlink" Target="https://www.who.int/news-room/fact-sheets/detail/noncommunicable-diseases" TargetMode="External"/><Relationship Id="rId26" Type="http://schemas.openxmlformats.org/officeDocument/2006/relationships/hyperlink" Target="https://doi.org/10.1001/jamanetworkopen.2019.0406" TargetMode="External"/><Relationship Id="rId25" Type="http://schemas.openxmlformats.org/officeDocument/2006/relationships/hyperlink" Target="https://doi.org/10.18773/austprescr.2020.025" TargetMode="External"/><Relationship Id="rId28" Type="http://schemas.openxmlformats.org/officeDocument/2006/relationships/hyperlink" Target="https://doi.org/10.1186/s40885-021-00176-0" TargetMode="External"/><Relationship Id="rId27" Type="http://schemas.openxmlformats.org/officeDocument/2006/relationships/hyperlink" Target="https://doi.org/10.1136/bmjopen-2019-029714" TargetMode="External"/><Relationship Id="rId29" Type="http://schemas.openxmlformats.org/officeDocument/2006/relationships/hyperlink" Target="https://doi.org/10.2147/ppa.s368784" TargetMode="External"/><Relationship Id="rId51" Type="http://schemas.openxmlformats.org/officeDocument/2006/relationships/hyperlink" Target="https://doi.org/10.1371/journal.pgph.0000497" TargetMode="External"/><Relationship Id="rId50" Type="http://schemas.openxmlformats.org/officeDocument/2006/relationships/hyperlink" Target="https://doi.org/10.1038/s41598-024-80086-x" TargetMode="External"/><Relationship Id="rId53" Type="http://schemas.openxmlformats.org/officeDocument/2006/relationships/hyperlink" Target="https://www.medicinearticle.com/JMR_20212_02.pdf" TargetMode="External"/><Relationship Id="rId52" Type="http://schemas.openxmlformats.org/officeDocument/2006/relationships/hyperlink" Target="https://doi.org/10.15585/mmwr.mm6918a1" TargetMode="External"/><Relationship Id="rId11" Type="http://schemas.openxmlformats.org/officeDocument/2006/relationships/image" Target="media/image2.png"/><Relationship Id="rId55" Type="http://schemas.openxmlformats.org/officeDocument/2006/relationships/hyperlink" Target="https://doi.org/10.1093/bmb/ldu018" TargetMode="External"/><Relationship Id="rId10" Type="http://schemas.openxmlformats.org/officeDocument/2006/relationships/image" Target="media/image6.png"/><Relationship Id="rId54" Type="http://schemas.openxmlformats.org/officeDocument/2006/relationships/hyperlink" Target="https://doi.org/10.1371/journal.pone.0274671" TargetMode="External"/><Relationship Id="rId13" Type="http://schemas.openxmlformats.org/officeDocument/2006/relationships/image" Target="media/image1.png"/><Relationship Id="rId57" Type="http://schemas.openxmlformats.org/officeDocument/2006/relationships/hyperlink" Target="https://www.mayoclinic.org/diseases-conditions/high-blood-pressure/symptoms-causes/syc-20373410" TargetMode="External"/><Relationship Id="rId12" Type="http://schemas.openxmlformats.org/officeDocument/2006/relationships/image" Target="media/image4.png"/><Relationship Id="rId56" Type="http://schemas.openxmlformats.org/officeDocument/2006/relationships/hyperlink" Target="https://jech.bmj.com/content/76/5/451" TargetMode="External"/><Relationship Id="rId15" Type="http://schemas.openxmlformats.org/officeDocument/2006/relationships/hyperlink" Target="https://doi.org/10.4330/wjc.v7.i12.938" TargetMode="External"/><Relationship Id="rId59" Type="http://schemas.openxmlformats.org/officeDocument/2006/relationships/hyperlink" Target="https://www.who.int/data/gho/data/themes/topics/sdg-target-3_4-noncommunicable-diseases-and-mental-health" TargetMode="External"/><Relationship Id="rId14" Type="http://schemas.openxmlformats.org/officeDocument/2006/relationships/hyperlink" Target="https://doi.org/10.37349/emed.2024.00248" TargetMode="External"/><Relationship Id="rId58" Type="http://schemas.openxmlformats.org/officeDocument/2006/relationships/hyperlink" Target="https://doi.org/10.4103/jfmpc.jfmpc_200_20" TargetMode="External"/><Relationship Id="rId17" Type="http://schemas.openxmlformats.org/officeDocument/2006/relationships/hyperlink" Target="https://doi.org/10.1161/circresaha.118.313220" TargetMode="External"/><Relationship Id="rId16" Type="http://schemas.openxmlformats.org/officeDocument/2006/relationships/hyperlink" Target="https://www.acc.org/latest-in-cardiology/articles/2017/11/08/11/47/mon-5pm-bp-guideline-aha-2017" TargetMode="External"/><Relationship Id="rId19" Type="http://schemas.openxmlformats.org/officeDocument/2006/relationships/hyperlink" Target="https://doi.org/10.1371/journal.pone.0264314" TargetMode="External"/><Relationship Id="rId18" Type="http://schemas.openxmlformats.org/officeDocument/2006/relationships/hyperlink" Target="https://doi.org/10.2147/ppa.s21609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